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rPr>
          <w:rFonts w:ascii="黑体" w:hAnsi="黑体" w:eastAsia="黑体" w:cs="黑体"/>
          <w:sz w:val="36"/>
          <w:szCs w:val="36"/>
        </w:rPr>
      </w:pPr>
      <w:r>
        <w:rPr>
          <w:rFonts w:hint="eastAsia" w:ascii="黑体" w:hAnsi="黑体" w:eastAsia="黑体" w:cs="黑体"/>
          <w:sz w:val="36"/>
          <w:szCs w:val="36"/>
        </w:rPr>
        <w:t>西南交通大学土木工程学院本科生</w:t>
      </w:r>
    </w:p>
    <w:p>
      <w:pPr>
        <w:pStyle w:val="4"/>
        <w:spacing w:line="360" w:lineRule="auto"/>
      </w:pPr>
      <w:r>
        <w:rPr>
          <w:rFonts w:hint="eastAsia" w:ascii="黑体" w:hAnsi="黑体" w:eastAsia="黑体" w:cs="黑体"/>
          <w:sz w:val="36"/>
          <w:szCs w:val="36"/>
        </w:rPr>
        <w:t>“红土年度人物”暨十大优秀本科生评选细则</w:t>
      </w:r>
    </w:p>
    <w:p>
      <w:pPr>
        <w:spacing w:line="360" w:lineRule="auto"/>
        <w:jc w:val="center"/>
        <w:rPr>
          <w:rFonts w:ascii="宋体" w:hAnsi="宋体" w:eastAsia="宋体" w:cs="宋体"/>
          <w:sz w:val="28"/>
          <w:szCs w:val="32"/>
        </w:rPr>
      </w:pPr>
      <w:r>
        <w:rPr>
          <w:rFonts w:hint="eastAsia" w:ascii="宋体" w:hAnsi="宋体" w:eastAsia="宋体" w:cs="宋体"/>
          <w:sz w:val="28"/>
          <w:szCs w:val="32"/>
        </w:rPr>
        <w:t>（202</w:t>
      </w:r>
      <w:r>
        <w:rPr>
          <w:rFonts w:ascii="宋体" w:hAnsi="宋体" w:eastAsia="宋体" w:cs="宋体"/>
          <w:sz w:val="28"/>
          <w:szCs w:val="32"/>
        </w:rPr>
        <w:t>2</w:t>
      </w:r>
      <w:r>
        <w:rPr>
          <w:rFonts w:hint="eastAsia" w:ascii="宋体" w:hAnsi="宋体" w:eastAsia="宋体" w:cs="宋体"/>
          <w:sz w:val="28"/>
          <w:szCs w:val="32"/>
        </w:rPr>
        <w:t>年修订）</w:t>
      </w:r>
    </w:p>
    <w:p>
      <w:pPr>
        <w:pStyle w:val="10"/>
        <w:spacing w:line="360" w:lineRule="auto"/>
        <w:ind w:firstLine="0" w:firstLineChars="0"/>
        <w:jc w:val="center"/>
        <w:rPr>
          <w:rFonts w:ascii="黑体" w:hAnsi="黑体" w:eastAsia="黑体" w:cs="黑体"/>
          <w:b/>
          <w:bCs/>
          <w:sz w:val="32"/>
          <w:szCs w:val="36"/>
        </w:rPr>
      </w:pPr>
      <w:r>
        <w:rPr>
          <w:rFonts w:hint="eastAsia" w:ascii="黑体" w:hAnsi="黑体" w:eastAsia="黑体" w:cs="黑体"/>
          <w:b/>
          <w:bCs/>
          <w:sz w:val="32"/>
          <w:szCs w:val="36"/>
        </w:rPr>
        <w:t>第一章 总则</w:t>
      </w:r>
    </w:p>
    <w:p>
      <w:pPr>
        <w:spacing w:line="360" w:lineRule="auto"/>
        <w:rPr>
          <w:rFonts w:ascii="宋体" w:hAnsi="宋体" w:eastAsia="宋体" w:cs="宋体"/>
          <w:sz w:val="22"/>
          <w:szCs w:val="24"/>
        </w:rPr>
      </w:pPr>
      <w:r>
        <w:rPr>
          <w:rFonts w:hint="eastAsia" w:ascii="宋体" w:hAnsi="宋体" w:eastAsia="宋体" w:cs="宋体"/>
          <w:b/>
          <w:bCs/>
          <w:sz w:val="22"/>
          <w:szCs w:val="24"/>
        </w:rPr>
        <w:t>第一条</w:t>
      </w:r>
      <w:r>
        <w:rPr>
          <w:rFonts w:hint="eastAsia" w:ascii="宋体" w:hAnsi="宋体" w:eastAsia="宋体" w:cs="宋体"/>
          <w:sz w:val="22"/>
          <w:szCs w:val="24"/>
        </w:rPr>
        <w:t xml:space="preserve"> 为全面贯彻党的教育方针，落实立德树人根本任务，引导和激励大学生德智体美劳全面发展，根据中共中央国务院《深化新时代教育评价改革总体方案》、西南交通大学《西南交通大学本科生荣誉称号评审管理办法》，结合我院实际，特制定本细则。</w:t>
      </w:r>
    </w:p>
    <w:p>
      <w:pPr>
        <w:pStyle w:val="10"/>
        <w:spacing w:line="360" w:lineRule="auto"/>
        <w:ind w:firstLine="0" w:firstLineChars="0"/>
        <w:rPr>
          <w:rFonts w:ascii="宋体" w:hAnsi="宋体" w:eastAsia="宋体" w:cs="宋体"/>
          <w:sz w:val="22"/>
          <w:szCs w:val="24"/>
        </w:rPr>
      </w:pPr>
      <w:r>
        <w:rPr>
          <w:rFonts w:hint="eastAsia" w:ascii="宋体" w:hAnsi="宋体" w:eastAsia="宋体" w:cs="宋体"/>
          <w:b/>
          <w:bCs/>
          <w:sz w:val="22"/>
          <w:szCs w:val="24"/>
        </w:rPr>
        <w:t>第二条</w:t>
      </w:r>
      <w:r>
        <w:rPr>
          <w:rFonts w:hint="eastAsia" w:ascii="宋体" w:hAnsi="宋体" w:eastAsia="宋体" w:cs="宋体"/>
          <w:sz w:val="22"/>
          <w:szCs w:val="24"/>
        </w:rPr>
        <w:t xml:space="preserve"> “红土年度人物”暨十大优秀本科生荣誉称号，用于表彰政治思想坚定、道德品质优良、学习成绩优异、科研实践能力突出或者在思想品德、学业成绩、科技创造、体育竞赛、文艺活动、志愿服务及社会实践等方面表现突出的全日制本科生。</w:t>
      </w:r>
    </w:p>
    <w:p>
      <w:pPr>
        <w:pStyle w:val="10"/>
        <w:spacing w:line="360" w:lineRule="auto"/>
        <w:ind w:firstLine="0" w:firstLineChars="0"/>
        <w:rPr>
          <w:rFonts w:ascii="宋体" w:hAnsi="宋体" w:eastAsia="宋体" w:cs="宋体"/>
          <w:sz w:val="22"/>
          <w:szCs w:val="24"/>
        </w:rPr>
      </w:pPr>
      <w:r>
        <w:rPr>
          <w:rFonts w:hint="eastAsia" w:ascii="宋体" w:hAnsi="宋体" w:eastAsia="宋体" w:cs="宋体"/>
          <w:b/>
          <w:bCs/>
          <w:sz w:val="22"/>
          <w:szCs w:val="24"/>
        </w:rPr>
        <w:t>第三条</w:t>
      </w:r>
      <w:r>
        <w:rPr>
          <w:rFonts w:hint="eastAsia" w:ascii="宋体" w:hAnsi="宋体" w:eastAsia="宋体" w:cs="宋体"/>
          <w:sz w:val="22"/>
          <w:szCs w:val="24"/>
        </w:rPr>
        <w:t xml:space="preserve"> “红土年度人物”暨十大优秀本科生每年评选一次，评审坚持“公平、公正、公开”原则。</w:t>
      </w:r>
    </w:p>
    <w:p>
      <w:pPr>
        <w:pStyle w:val="10"/>
        <w:spacing w:line="360" w:lineRule="auto"/>
        <w:ind w:firstLine="0" w:firstLineChars="0"/>
        <w:rPr>
          <w:rFonts w:eastAsia="黑体"/>
        </w:rPr>
      </w:pPr>
    </w:p>
    <w:p>
      <w:pPr>
        <w:pStyle w:val="10"/>
        <w:spacing w:line="360" w:lineRule="auto"/>
        <w:ind w:firstLine="0" w:firstLineChars="0"/>
        <w:rPr>
          <w:rFonts w:eastAsia="黑体"/>
        </w:rPr>
      </w:pPr>
    </w:p>
    <w:p>
      <w:pPr>
        <w:pStyle w:val="10"/>
        <w:spacing w:line="360" w:lineRule="auto"/>
        <w:ind w:firstLine="0" w:firstLineChars="0"/>
        <w:jc w:val="center"/>
        <w:rPr>
          <w:rFonts w:ascii="黑体" w:hAnsi="黑体" w:eastAsia="黑体" w:cs="黑体"/>
          <w:b/>
          <w:bCs/>
          <w:sz w:val="32"/>
          <w:szCs w:val="36"/>
        </w:rPr>
      </w:pPr>
      <w:r>
        <w:rPr>
          <w:rFonts w:hint="eastAsia" w:ascii="黑体" w:hAnsi="黑体" w:eastAsia="黑体" w:cs="黑体"/>
          <w:b/>
          <w:bCs/>
          <w:sz w:val="32"/>
          <w:szCs w:val="36"/>
        </w:rPr>
        <w:t>第二章 评选条件</w:t>
      </w:r>
    </w:p>
    <w:p>
      <w:pPr>
        <w:pStyle w:val="10"/>
        <w:spacing w:line="360" w:lineRule="auto"/>
        <w:ind w:firstLine="0" w:firstLineChars="0"/>
        <w:rPr>
          <w:rFonts w:ascii="宋体" w:hAnsi="宋体" w:eastAsia="宋体" w:cs="宋体"/>
          <w:sz w:val="22"/>
          <w:szCs w:val="24"/>
        </w:rPr>
      </w:pPr>
      <w:r>
        <w:rPr>
          <w:rFonts w:hint="eastAsia" w:ascii="宋体" w:hAnsi="宋体" w:eastAsia="宋体" w:cs="宋体"/>
          <w:b/>
          <w:bCs/>
          <w:sz w:val="22"/>
          <w:szCs w:val="24"/>
        </w:rPr>
        <w:t>第四条</w:t>
      </w:r>
      <w:r>
        <w:rPr>
          <w:rFonts w:hint="eastAsia" w:ascii="宋体" w:hAnsi="宋体" w:eastAsia="宋体" w:cs="宋体"/>
          <w:sz w:val="22"/>
          <w:szCs w:val="24"/>
        </w:rPr>
        <w:t xml:space="preserve"> 参加“红土年度人物”暨十大优秀本科生评选的学生应当具备下列条件：</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1．学籍在土木工程学院的本科生。</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2．在政治思想、道德品质、学习成绩、社会工作、体育锻炼等方面表现突出，能很好地起到模范带头作用，得到公认和好评；</w:t>
      </w:r>
    </w:p>
    <w:p>
      <w:pPr>
        <w:pStyle w:val="10"/>
        <w:spacing w:line="360" w:lineRule="auto"/>
        <w:ind w:firstLine="440"/>
        <w:rPr>
          <w:rFonts w:ascii="宋体" w:hAnsi="宋体" w:eastAsia="宋体" w:cs="宋体"/>
          <w:sz w:val="22"/>
          <w:szCs w:val="24"/>
        </w:rPr>
      </w:pPr>
      <w:r>
        <w:rPr>
          <w:rFonts w:hint="eastAsia" w:ascii="宋体" w:hAnsi="宋体" w:eastAsia="宋体" w:cs="宋体"/>
          <w:sz w:val="22"/>
          <w:szCs w:val="24"/>
        </w:rPr>
        <w:t>3</w:t>
      </w:r>
      <w:r>
        <w:rPr>
          <w:rFonts w:ascii="宋体" w:hAnsi="宋体" w:eastAsia="宋体" w:cs="宋体"/>
          <w:sz w:val="22"/>
          <w:szCs w:val="24"/>
        </w:rPr>
        <w:t>．除学习成绩优良外，至少还应具备下列条件之一：</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（1）对国家、社会、学校、学院做出特殊贡献，为校院赢得荣誉或积极的社会影响；</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（2）在“扬华杯”大学生课外学术科技作品竞赛、力学竞赛、数学建模竞赛、结构设计大赛等校级或以上学术科技竞赛活动中取得优异成绩；</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（3）在校级或以上精神文明建设中做出突出贡献；</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（4）在校级或以上文艺表演、体育竞赛、文化类竞赛活动中取得优异成绩；</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（5）在校级或以上社会工作中表现突出；</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（6）积极参加社会实践、志愿服务活动，在社会主义精神文明与和谐校园建设中做出突出贡献者；</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（7）在逆境中顽强拼搏、自立自强且品学兼优者；</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（8）利用自身所学知识，敢于探索，勇于实践，在创业就业过程中具有一定的榜样示范作用、主动到西部地区到基层单位就业者。</w:t>
      </w:r>
    </w:p>
    <w:p>
      <w:pPr>
        <w:pStyle w:val="10"/>
        <w:spacing w:line="360" w:lineRule="auto"/>
        <w:ind w:firstLine="440"/>
        <w:rPr>
          <w:rFonts w:ascii="宋体" w:hAnsi="宋体" w:eastAsia="宋体" w:cs="宋体"/>
          <w:sz w:val="22"/>
          <w:szCs w:val="24"/>
        </w:rPr>
      </w:pPr>
      <w:r>
        <w:rPr>
          <w:rFonts w:ascii="宋体" w:hAnsi="宋体" w:eastAsia="宋体" w:cs="宋体"/>
          <w:sz w:val="22"/>
          <w:szCs w:val="24"/>
        </w:rPr>
        <w:t>（9）在创先争优活动中表现积极并获得一定的成绩者。</w:t>
      </w:r>
    </w:p>
    <w:p>
      <w:pPr>
        <w:pStyle w:val="10"/>
        <w:spacing w:line="360" w:lineRule="auto"/>
        <w:ind w:firstLine="0" w:firstLineChars="0"/>
        <w:rPr>
          <w:rFonts w:ascii="宋体" w:hAnsi="宋体" w:eastAsia="宋体" w:cs="宋体"/>
          <w:sz w:val="22"/>
          <w:szCs w:val="24"/>
        </w:rPr>
      </w:pPr>
    </w:p>
    <w:p>
      <w:pPr>
        <w:pStyle w:val="10"/>
        <w:spacing w:line="360" w:lineRule="auto"/>
        <w:ind w:firstLine="0" w:firstLineChars="0"/>
        <w:rPr>
          <w:rFonts w:ascii="宋体" w:hAnsi="宋体" w:eastAsia="宋体" w:cs="宋体"/>
          <w:sz w:val="22"/>
          <w:szCs w:val="24"/>
        </w:rPr>
      </w:pPr>
      <w:r>
        <w:rPr>
          <w:rFonts w:hint="eastAsia" w:ascii="宋体" w:hAnsi="宋体" w:eastAsia="宋体" w:cs="宋体"/>
          <w:b/>
          <w:bCs/>
          <w:sz w:val="22"/>
          <w:szCs w:val="24"/>
        </w:rPr>
        <w:t>第五条</w:t>
      </w:r>
      <w:r>
        <w:rPr>
          <w:rFonts w:hint="eastAsia" w:ascii="宋体" w:hAnsi="宋体" w:eastAsia="宋体" w:cs="宋体"/>
          <w:sz w:val="22"/>
          <w:szCs w:val="24"/>
        </w:rPr>
        <w:t xml:space="preserve"> 在参评学年有下列情况之一者，不得提出申请：</w:t>
      </w:r>
    </w:p>
    <w:p>
      <w:pPr>
        <w:pStyle w:val="10"/>
        <w:spacing w:line="360" w:lineRule="auto"/>
        <w:ind w:firstLine="440"/>
        <w:rPr>
          <w:rFonts w:ascii="宋体" w:hAnsi="宋体" w:eastAsia="宋体" w:cs="宋体"/>
          <w:sz w:val="22"/>
          <w:szCs w:val="24"/>
        </w:rPr>
      </w:pPr>
      <w:r>
        <w:rPr>
          <w:rFonts w:hint="eastAsia" w:ascii="宋体" w:hAnsi="宋体" w:eastAsia="宋体" w:cs="宋体"/>
          <w:sz w:val="22"/>
          <w:szCs w:val="24"/>
        </w:rPr>
        <w:t>1.在参评学年，受到纪律处分者；</w:t>
      </w:r>
    </w:p>
    <w:p>
      <w:pPr>
        <w:pStyle w:val="10"/>
        <w:spacing w:line="360" w:lineRule="auto"/>
        <w:ind w:firstLine="440"/>
        <w:rPr>
          <w:rFonts w:ascii="宋体" w:hAnsi="宋体" w:eastAsia="宋体" w:cs="宋体"/>
          <w:sz w:val="22"/>
          <w:szCs w:val="24"/>
        </w:rPr>
      </w:pPr>
      <w:r>
        <w:rPr>
          <w:rFonts w:hint="eastAsia" w:ascii="宋体" w:hAnsi="宋体" w:eastAsia="宋体" w:cs="宋体"/>
          <w:sz w:val="22"/>
          <w:szCs w:val="24"/>
        </w:rPr>
        <w:t>2.在参评学年内，出现课程不及格者；</w:t>
      </w:r>
    </w:p>
    <w:p>
      <w:pPr>
        <w:pStyle w:val="10"/>
        <w:spacing w:line="360" w:lineRule="auto"/>
        <w:ind w:firstLine="440"/>
        <w:rPr>
          <w:rFonts w:ascii="宋体" w:hAnsi="宋体" w:eastAsia="宋体" w:cs="宋体"/>
          <w:sz w:val="22"/>
          <w:szCs w:val="24"/>
        </w:rPr>
      </w:pPr>
      <w:r>
        <w:rPr>
          <w:rFonts w:hint="eastAsia" w:ascii="宋体" w:hAnsi="宋体" w:eastAsia="宋体" w:cs="宋体"/>
          <w:sz w:val="22"/>
          <w:szCs w:val="24"/>
        </w:rPr>
        <w:t>3.在参评学年内，休学者、保留学籍者及转专业者；</w:t>
      </w:r>
    </w:p>
    <w:p>
      <w:pPr>
        <w:pStyle w:val="10"/>
        <w:spacing w:line="360" w:lineRule="auto"/>
        <w:ind w:firstLine="440"/>
        <w:rPr>
          <w:rFonts w:ascii="宋体" w:hAnsi="宋体" w:eastAsia="宋体" w:cs="宋体"/>
          <w:sz w:val="22"/>
          <w:szCs w:val="24"/>
        </w:rPr>
      </w:pPr>
      <w:r>
        <w:rPr>
          <w:rFonts w:hint="eastAsia" w:ascii="宋体" w:hAnsi="宋体" w:eastAsia="宋体" w:cs="宋体"/>
          <w:sz w:val="22"/>
          <w:szCs w:val="24"/>
        </w:rPr>
        <w:t>4.违反《西南交通大学学术道德规范》的相关规定，存在剽窃、作假、提供虚假信息等学术失范行为者；</w:t>
      </w:r>
    </w:p>
    <w:p>
      <w:pPr>
        <w:pStyle w:val="10"/>
        <w:spacing w:line="360" w:lineRule="auto"/>
        <w:ind w:firstLine="440"/>
        <w:rPr>
          <w:rFonts w:ascii="宋体" w:hAnsi="宋体" w:eastAsia="宋体" w:cs="宋体"/>
          <w:sz w:val="22"/>
          <w:szCs w:val="24"/>
        </w:rPr>
      </w:pPr>
      <w:r>
        <w:rPr>
          <w:rFonts w:hint="eastAsia" w:ascii="宋体" w:hAnsi="宋体" w:eastAsia="宋体" w:cs="宋体"/>
          <w:sz w:val="22"/>
          <w:szCs w:val="24"/>
        </w:rPr>
        <w:t>5.因私出国留学、疾病、创业等原因未在校学习者。</w:t>
      </w:r>
    </w:p>
    <w:p>
      <w:pPr>
        <w:pStyle w:val="10"/>
        <w:spacing w:line="360" w:lineRule="auto"/>
        <w:ind w:firstLine="0" w:firstLineChars="0"/>
        <w:rPr>
          <w:rFonts w:ascii="宋体" w:hAnsi="宋体" w:eastAsia="宋体" w:cs="宋体"/>
        </w:rPr>
      </w:pPr>
    </w:p>
    <w:p>
      <w:pPr>
        <w:pStyle w:val="5"/>
        <w:spacing w:before="0" w:beforeAutospacing="0" w:after="0" w:afterAutospacing="0" w:line="288" w:lineRule="atLeast"/>
        <w:ind w:firstLine="384"/>
        <w:rPr>
          <w:rFonts w:ascii="黑体" w:hAnsi="黑体" w:eastAsia="黑体"/>
          <w:b/>
          <w:bCs/>
        </w:rPr>
      </w:pPr>
      <w:r>
        <w:rPr>
          <w:rFonts w:ascii="Arial" w:hAnsi="Arial" w:cs="Arial"/>
          <w:color w:val="000000"/>
          <w:sz w:val="19"/>
          <w:szCs w:val="19"/>
        </w:rPr>
        <w:t> </w:t>
      </w:r>
    </w:p>
    <w:p>
      <w:pPr>
        <w:pStyle w:val="10"/>
        <w:spacing w:line="360" w:lineRule="auto"/>
        <w:ind w:firstLine="0" w:firstLineChars="0"/>
        <w:jc w:val="center"/>
        <w:rPr>
          <w:rFonts w:ascii="黑体" w:hAnsi="黑体" w:eastAsia="黑体" w:cs="黑体"/>
          <w:b/>
          <w:bCs/>
          <w:sz w:val="32"/>
          <w:szCs w:val="36"/>
        </w:rPr>
      </w:pPr>
      <w:r>
        <w:rPr>
          <w:rFonts w:hint="eastAsia" w:ascii="黑体" w:hAnsi="黑体" w:eastAsia="黑体" w:cs="黑体"/>
          <w:b/>
          <w:bCs/>
          <w:sz w:val="32"/>
          <w:szCs w:val="36"/>
        </w:rPr>
        <w:t>第三章 成绩计算办法</w:t>
      </w:r>
    </w:p>
    <w:p>
      <w:pPr>
        <w:pStyle w:val="10"/>
        <w:spacing w:line="360" w:lineRule="auto"/>
        <w:ind w:firstLine="0" w:firstLineChars="0"/>
        <w:rPr>
          <w:rFonts w:ascii="宋体" w:hAnsi="宋体" w:eastAsia="宋体" w:cs="宋体"/>
          <w:sz w:val="22"/>
          <w:szCs w:val="24"/>
        </w:rPr>
      </w:pPr>
      <w:r>
        <w:rPr>
          <w:rFonts w:hint="eastAsia" w:ascii="宋体" w:hAnsi="宋体" w:eastAsia="宋体" w:cs="宋体"/>
          <w:b/>
          <w:bCs/>
          <w:sz w:val="22"/>
          <w:szCs w:val="24"/>
        </w:rPr>
        <w:t>第六条</w:t>
      </w:r>
      <w:r>
        <w:rPr>
          <w:rFonts w:hint="eastAsia" w:ascii="宋体" w:hAnsi="宋体" w:eastAsia="宋体" w:cs="宋体"/>
          <w:sz w:val="22"/>
          <w:szCs w:val="24"/>
        </w:rPr>
        <w:t xml:space="preserve"> “红土年度人物”暨十大优秀本科生每年评选出十人。根据个人综合成绩表现，选出成绩前十的同学，颁发证书和奖励。成绩计算由两部分组成：</w:t>
      </w:r>
      <w:r>
        <w:rPr>
          <w:rFonts w:hint="eastAsia" w:ascii="宋体" w:hAnsi="宋体" w:eastAsia="宋体" w:cs="宋体"/>
          <w:b/>
          <w:bCs/>
          <w:sz w:val="22"/>
          <w:szCs w:val="24"/>
        </w:rPr>
        <w:t>综合素质（45%）、现场答辩（55%）</w:t>
      </w:r>
      <w:r>
        <w:rPr>
          <w:rFonts w:hint="eastAsia" w:ascii="宋体" w:hAnsi="宋体" w:eastAsia="宋体" w:cs="宋体"/>
          <w:sz w:val="22"/>
          <w:szCs w:val="24"/>
        </w:rPr>
        <w:t>，具体办法如下：</w:t>
      </w:r>
    </w:p>
    <w:p>
      <w:pPr>
        <w:pStyle w:val="10"/>
        <w:spacing w:line="360" w:lineRule="auto"/>
        <w:ind w:left="384" w:firstLine="0" w:firstLineChars="0"/>
        <w:rPr>
          <w:rFonts w:ascii="宋体" w:hAnsi="宋体" w:eastAsia="宋体" w:cs="宋体"/>
          <w:sz w:val="22"/>
        </w:rPr>
      </w:pPr>
      <w:r>
        <w:rPr>
          <w:rFonts w:hint="eastAsia" w:ascii="宋体" w:hAnsi="宋体" w:eastAsia="宋体" w:cs="宋体"/>
          <w:sz w:val="22"/>
        </w:rPr>
        <w:t>一、综合素质（45%，各项加分均需提供证明材料）：</w:t>
      </w:r>
    </w:p>
    <w:p>
      <w:pPr>
        <w:pStyle w:val="10"/>
        <w:spacing w:line="360" w:lineRule="auto"/>
        <w:ind w:left="105" w:firstLine="440"/>
        <w:rPr>
          <w:rFonts w:ascii="宋体" w:hAnsi="宋体" w:eastAsia="宋体" w:cs="宋体"/>
          <w:sz w:val="22"/>
        </w:rPr>
      </w:pPr>
      <w:r>
        <w:rPr>
          <w:rFonts w:hint="eastAsia" w:ascii="宋体" w:hAnsi="宋体" w:eastAsia="宋体" w:cs="宋体"/>
          <w:sz w:val="22"/>
        </w:rPr>
        <w:t>1、学业成绩（16%）：</w:t>
      </w:r>
      <w:r>
        <w:rPr>
          <w:rFonts w:ascii="宋体" w:hAnsi="宋体" w:eastAsia="宋体" w:cs="宋体"/>
          <w:sz w:val="22"/>
        </w:rPr>
        <w:t xml:space="preserve"> </w:t>
      </w:r>
    </w:p>
    <w:p>
      <w:pPr>
        <w:pStyle w:val="10"/>
        <w:spacing w:line="360" w:lineRule="auto"/>
        <w:ind w:left="105" w:firstLine="440"/>
        <w:rPr>
          <w:rFonts w:ascii="宋体" w:hAnsi="宋体" w:eastAsia="宋体" w:cs="宋体"/>
          <w:sz w:val="22"/>
        </w:rPr>
      </w:pPr>
      <w:r>
        <w:rPr>
          <w:rFonts w:hint="eastAsia" w:ascii="宋体" w:hAnsi="宋体" w:eastAsia="宋体" w:cs="宋体"/>
          <w:sz w:val="22"/>
        </w:rPr>
        <w:t>（一）智育评价（1</w:t>
      </w:r>
      <w:r>
        <w:rPr>
          <w:rFonts w:ascii="宋体" w:hAnsi="宋体" w:eastAsia="宋体" w:cs="宋体"/>
          <w:sz w:val="22"/>
        </w:rPr>
        <w:t>4%</w:t>
      </w:r>
      <w:r>
        <w:rPr>
          <w:rFonts w:hint="eastAsia" w:ascii="宋体" w:hAnsi="宋体" w:eastAsia="宋体" w:cs="宋体"/>
          <w:sz w:val="22"/>
        </w:rPr>
        <w:t>）</w:t>
      </w:r>
    </w:p>
    <w:p>
      <w:pPr>
        <w:pStyle w:val="10"/>
        <w:spacing w:line="360" w:lineRule="auto"/>
        <w:ind w:left="105" w:firstLine="440"/>
        <w:rPr>
          <w:rFonts w:ascii="宋体" w:hAnsi="宋体" w:eastAsia="宋体" w:cs="宋体"/>
          <w:sz w:val="22"/>
        </w:rPr>
      </w:pPr>
      <w:r>
        <w:rPr>
          <w:rFonts w:ascii="宋体" w:hAnsi="宋体" w:eastAsia="宋体" w:cs="宋体"/>
          <w:sz w:val="22"/>
        </w:rPr>
        <w:t>1</w:t>
      </w:r>
      <w:r>
        <w:rPr>
          <w:rFonts w:hint="eastAsia" w:ascii="宋体" w:hAnsi="宋体" w:eastAsia="宋体" w:cs="宋体"/>
          <w:sz w:val="22"/>
        </w:rPr>
        <w:t>)</w:t>
      </w:r>
      <w:r>
        <w:rPr>
          <w:rFonts w:ascii="宋体" w:hAnsi="宋体" w:eastAsia="宋体" w:cs="宋体"/>
          <w:sz w:val="22"/>
        </w:rPr>
        <w:t>智育评价，重点对学生学习情况进行评价。</w:t>
      </w:r>
    </w:p>
    <w:p>
      <w:pPr>
        <w:pStyle w:val="10"/>
        <w:spacing w:line="360" w:lineRule="auto"/>
        <w:ind w:left="105" w:firstLine="440"/>
        <w:rPr>
          <w:rFonts w:hint="eastAsia" w:ascii="宋体" w:hAnsi="宋体" w:eastAsia="宋体" w:cs="宋体"/>
          <w:sz w:val="22"/>
        </w:rPr>
      </w:pPr>
      <w:r>
        <w:rPr>
          <w:rFonts w:ascii="宋体" w:hAnsi="宋体" w:eastAsia="宋体" w:cs="宋体"/>
          <w:sz w:val="22"/>
        </w:rPr>
        <w:t>2</w:t>
      </w:r>
      <w:r>
        <w:rPr>
          <w:rFonts w:hint="eastAsia" w:ascii="宋体" w:hAnsi="宋体" w:eastAsia="宋体" w:cs="宋体"/>
          <w:sz w:val="22"/>
        </w:rPr>
        <w:t>)</w:t>
      </w:r>
      <w:r>
        <w:rPr>
          <w:rFonts w:ascii="宋体" w:hAnsi="宋体" w:eastAsia="宋体" w:cs="宋体"/>
          <w:sz w:val="22"/>
        </w:rPr>
        <w:t>智育评价成绩为</w:t>
      </w:r>
      <w:r>
        <w:rPr>
          <w:rFonts w:hint="eastAsia" w:ascii="宋体" w:hAnsi="宋体" w:eastAsia="宋体" w:cs="宋体"/>
          <w:sz w:val="22"/>
        </w:rPr>
        <w:t>学生自入学起所有课程的正考成绩的算术平均分乘以1</w:t>
      </w:r>
      <w:r>
        <w:rPr>
          <w:rFonts w:ascii="宋体" w:hAnsi="宋体" w:eastAsia="宋体" w:cs="宋体"/>
          <w:sz w:val="22"/>
        </w:rPr>
        <w:t>4</w:t>
      </w:r>
      <w:r>
        <w:rPr>
          <w:rFonts w:hint="eastAsia" w:ascii="宋体" w:hAnsi="宋体" w:eastAsia="宋体" w:cs="宋体"/>
          <w:sz w:val="22"/>
        </w:rPr>
        <w:t>%。</w:t>
      </w:r>
    </w:p>
    <w:p>
      <w:pPr>
        <w:pStyle w:val="10"/>
        <w:spacing w:line="360" w:lineRule="auto"/>
        <w:ind w:left="105" w:firstLine="440"/>
        <w:rPr>
          <w:rFonts w:ascii="宋体" w:hAnsi="宋体" w:eastAsia="宋体" w:cs="宋体"/>
          <w:sz w:val="22"/>
        </w:rPr>
      </w:pPr>
      <w:r>
        <w:rPr>
          <w:rFonts w:ascii="宋体" w:hAnsi="宋体" w:eastAsia="宋体" w:cs="宋体"/>
          <w:sz w:val="22"/>
        </w:rPr>
        <w:t>3</w:t>
      </w:r>
      <w:r>
        <w:rPr>
          <w:rFonts w:hint="eastAsia" w:ascii="宋体" w:hAnsi="宋体" w:eastAsia="宋体" w:cs="宋体"/>
          <w:sz w:val="22"/>
        </w:rPr>
        <w:t>)</w:t>
      </w:r>
      <w:r>
        <w:rPr>
          <w:rFonts w:ascii="宋体" w:hAnsi="宋体" w:eastAsia="宋体" w:cs="宋体"/>
          <w:sz w:val="22"/>
        </w:rPr>
        <w:t>体育课程（必修课）成绩不计入智育评价成绩。</w:t>
      </w:r>
    </w:p>
    <w:p>
      <w:pPr>
        <w:pStyle w:val="10"/>
        <w:spacing w:line="360" w:lineRule="auto"/>
        <w:ind w:left="105" w:firstLine="440"/>
        <w:rPr>
          <w:rFonts w:ascii="宋体" w:hAnsi="宋体" w:eastAsia="宋体" w:cs="宋体"/>
          <w:sz w:val="22"/>
        </w:rPr>
      </w:pPr>
      <w:r>
        <w:rPr>
          <w:rFonts w:hint="eastAsia" w:ascii="宋体" w:hAnsi="宋体" w:eastAsia="宋体" w:cs="宋体"/>
          <w:sz w:val="22"/>
        </w:rPr>
        <w:t>（二）体育评价（</w:t>
      </w:r>
      <w:r>
        <w:rPr>
          <w:rFonts w:ascii="宋体" w:hAnsi="宋体" w:eastAsia="宋体" w:cs="宋体"/>
          <w:sz w:val="22"/>
        </w:rPr>
        <w:t>2%</w:t>
      </w:r>
      <w:r>
        <w:rPr>
          <w:rFonts w:hint="eastAsia" w:ascii="宋体" w:hAnsi="宋体" w:eastAsia="宋体" w:cs="宋体"/>
          <w:sz w:val="22"/>
        </w:rPr>
        <w:t>）</w:t>
      </w:r>
    </w:p>
    <w:p>
      <w:pPr>
        <w:pStyle w:val="10"/>
        <w:spacing w:line="360" w:lineRule="auto"/>
        <w:ind w:left="105" w:firstLine="440"/>
        <w:rPr>
          <w:rFonts w:ascii="宋体" w:hAnsi="宋体" w:eastAsia="宋体" w:cs="宋体"/>
          <w:sz w:val="22"/>
        </w:rPr>
      </w:pPr>
      <w:r>
        <w:rPr>
          <w:rFonts w:ascii="宋体" w:hAnsi="宋体" w:eastAsia="宋体" w:cs="宋体"/>
          <w:sz w:val="22"/>
        </w:rPr>
        <w:t>1)体育评价，重点对学生体育课程、体质健康测试情况进行评价。</w:t>
      </w:r>
    </w:p>
    <w:p>
      <w:pPr>
        <w:pStyle w:val="10"/>
        <w:spacing w:line="360" w:lineRule="auto"/>
        <w:ind w:left="105" w:firstLine="440"/>
        <w:rPr>
          <w:rFonts w:hint="eastAsia" w:ascii="宋体" w:hAnsi="宋体" w:eastAsia="宋体" w:cs="宋体"/>
          <w:sz w:val="22"/>
        </w:rPr>
      </w:pPr>
      <w:r>
        <w:rPr>
          <w:rFonts w:ascii="宋体" w:hAnsi="宋体" w:eastAsia="宋体" w:cs="宋体"/>
          <w:sz w:val="22"/>
        </w:rPr>
        <w:t>2)体育评价成绩为学生</w:t>
      </w:r>
      <w:r>
        <w:rPr>
          <w:rFonts w:hint="eastAsia" w:ascii="宋体" w:hAnsi="宋体" w:eastAsia="宋体" w:cs="宋体"/>
          <w:sz w:val="22"/>
        </w:rPr>
        <w:t>自入学起所有</w:t>
      </w:r>
      <w:r>
        <w:rPr>
          <w:rFonts w:ascii="宋体" w:hAnsi="宋体" w:eastAsia="宋体" w:cs="宋体"/>
          <w:sz w:val="22"/>
        </w:rPr>
        <w:t>体育课程（必修课）正考成绩的算术平均分</w:t>
      </w:r>
      <w:r>
        <w:rPr>
          <w:rFonts w:hint="eastAsia" w:ascii="宋体" w:hAnsi="宋体" w:eastAsia="宋体" w:cs="宋体"/>
          <w:sz w:val="22"/>
        </w:rPr>
        <w:t>乘以2</w:t>
      </w:r>
      <w:r>
        <w:rPr>
          <w:rFonts w:ascii="宋体" w:hAnsi="宋体" w:eastAsia="宋体" w:cs="宋体"/>
          <w:sz w:val="22"/>
        </w:rPr>
        <w:t>%</w:t>
      </w:r>
      <w:r>
        <w:rPr>
          <w:rFonts w:hint="eastAsia" w:ascii="宋体" w:hAnsi="宋体" w:eastAsia="宋体" w:cs="宋体"/>
          <w:sz w:val="22"/>
        </w:rPr>
        <w:t>。</w:t>
      </w:r>
    </w:p>
    <w:p>
      <w:pPr>
        <w:pStyle w:val="10"/>
        <w:spacing w:line="360" w:lineRule="auto"/>
        <w:ind w:left="105" w:firstLine="440"/>
        <w:rPr>
          <w:rFonts w:ascii="宋体" w:hAnsi="宋体" w:eastAsia="宋体" w:cs="宋体"/>
          <w:sz w:val="22"/>
        </w:rPr>
      </w:pPr>
      <w:r>
        <w:rPr>
          <w:rFonts w:ascii="宋体" w:hAnsi="宋体" w:eastAsia="宋体" w:cs="宋体"/>
          <w:sz w:val="22"/>
        </w:rPr>
        <w:t>3)五年制学生第四学年体育评价成绩按第一、二、三学年体育评价成绩的平</w:t>
      </w:r>
      <w:r>
        <w:rPr>
          <w:rFonts w:hint="eastAsia" w:ascii="宋体" w:hAnsi="宋体" w:eastAsia="宋体" w:cs="宋体"/>
          <w:sz w:val="22"/>
        </w:rPr>
        <w:t>均成绩计算。</w:t>
      </w:r>
    </w:p>
    <w:p>
      <w:pPr>
        <w:pStyle w:val="10"/>
        <w:spacing w:line="360" w:lineRule="auto"/>
        <w:ind w:left="105" w:firstLine="440"/>
        <w:rPr>
          <w:rFonts w:hint="eastAsia" w:ascii="宋体" w:hAnsi="宋体" w:eastAsia="宋体" w:cs="宋体"/>
          <w:sz w:val="22"/>
        </w:rPr>
      </w:pPr>
      <w:r>
        <w:rPr>
          <w:rFonts w:hint="eastAsia" w:ascii="宋体" w:hAnsi="宋体" w:eastAsia="宋体" w:cs="宋体"/>
          <w:sz w:val="22"/>
        </w:rPr>
        <w:t xml:space="preserve">注意：①以上学业成绩计算平均分数时，均取第一次正考成绩（缓考成绩可视为正考成绩），未通过的科目按照补考前的成绩计算，重修成绩不纳入成绩计算；②计算时均保留两位小数；③参评者应按要求提供教务处打印的成绩单。 </w:t>
      </w:r>
    </w:p>
    <w:p>
      <w:pPr>
        <w:pStyle w:val="10"/>
        <w:spacing w:line="360" w:lineRule="auto"/>
        <w:ind w:left="105" w:firstLine="440"/>
        <w:rPr>
          <w:rFonts w:ascii="宋体" w:hAnsi="宋体" w:eastAsia="宋体" w:cs="宋体"/>
          <w:sz w:val="22"/>
        </w:rPr>
      </w:pPr>
      <w:r>
        <w:rPr>
          <w:rFonts w:hint="eastAsia" w:ascii="宋体" w:hAnsi="宋体" w:eastAsia="宋体" w:cs="宋体"/>
          <w:sz w:val="22"/>
        </w:rPr>
        <w:t>2、科创竞赛占比8%（最多8分，可累加，相同竞赛仅取最高奖项加分），具体如下：</w:t>
      </w:r>
    </w:p>
    <w:p>
      <w:pPr>
        <w:pStyle w:val="10"/>
        <w:numPr>
          <w:ilvl w:val="0"/>
          <w:numId w:val="1"/>
        </w:numPr>
        <w:spacing w:line="360" w:lineRule="auto"/>
        <w:ind w:firstLineChars="0"/>
        <w:rPr>
          <w:rFonts w:hint="eastAsia" w:ascii="宋体" w:hAnsi="宋体" w:eastAsia="宋体" w:cs="宋体"/>
          <w:sz w:val="22"/>
        </w:rPr>
      </w:pPr>
      <w:r>
        <w:rPr>
          <w:rFonts w:hint="eastAsia" w:ascii="宋体" w:hAnsi="宋体" w:eastAsia="宋体" w:cs="宋体"/>
          <w:sz w:val="22"/>
        </w:rPr>
        <w:t>学校指定的国家级、省级学科竞赛（见附件3）</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841"/>
        <w:gridCol w:w="2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tcPr>
          <w:p>
            <w:pPr>
              <w:spacing w:line="360" w:lineRule="auto"/>
              <w:jc w:val="center"/>
              <w:rPr>
                <w:rFonts w:ascii="宋体" w:hAnsi="宋体" w:eastAsia="宋体" w:cs="宋体"/>
                <w:b/>
                <w:bCs/>
                <w:sz w:val="22"/>
              </w:rPr>
            </w:pPr>
            <w:r>
              <w:rPr>
                <w:rFonts w:hint="eastAsia" w:ascii="宋体" w:hAnsi="宋体" w:eastAsia="宋体" w:cs="宋体"/>
                <w:b/>
                <w:bCs/>
                <w:color w:val="000000"/>
                <w:kern w:val="0"/>
                <w:sz w:val="22"/>
              </w:rPr>
              <w:t>竞赛级别</w:t>
            </w:r>
          </w:p>
        </w:tc>
        <w:tc>
          <w:tcPr>
            <w:tcW w:w="1667" w:type="pct"/>
          </w:tcPr>
          <w:p>
            <w:pPr>
              <w:spacing w:line="360" w:lineRule="auto"/>
              <w:jc w:val="center"/>
              <w:rPr>
                <w:rFonts w:ascii="宋体" w:hAnsi="宋体" w:eastAsia="宋体" w:cs="宋体"/>
                <w:b/>
                <w:bCs/>
                <w:sz w:val="22"/>
              </w:rPr>
            </w:pPr>
            <w:r>
              <w:rPr>
                <w:rFonts w:hint="eastAsia" w:ascii="宋体" w:hAnsi="宋体" w:eastAsia="宋体" w:cs="宋体"/>
                <w:b/>
                <w:bCs/>
                <w:color w:val="000000"/>
                <w:kern w:val="0"/>
                <w:sz w:val="22"/>
              </w:rPr>
              <w:t>获奖等级</w:t>
            </w:r>
          </w:p>
        </w:tc>
        <w:tc>
          <w:tcPr>
            <w:tcW w:w="1666" w:type="pct"/>
          </w:tcPr>
          <w:p>
            <w:pPr>
              <w:spacing w:line="360" w:lineRule="auto"/>
              <w:jc w:val="center"/>
              <w:rPr>
                <w:rFonts w:ascii="宋体" w:hAnsi="宋体" w:eastAsia="宋体" w:cs="宋体"/>
                <w:b/>
                <w:bCs/>
                <w:sz w:val="22"/>
              </w:rPr>
            </w:pPr>
            <w:r>
              <w:rPr>
                <w:rFonts w:hint="eastAsia" w:ascii="宋体" w:hAnsi="宋体" w:eastAsia="宋体" w:cs="宋体"/>
                <w:b/>
                <w:bCs/>
                <w:color w:val="000000"/>
                <w:kern w:val="0"/>
                <w:sz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restart"/>
          </w:tcPr>
          <w:p>
            <w:pPr>
              <w:spacing w:line="1200" w:lineRule="auto"/>
              <w:jc w:val="center"/>
              <w:rPr>
                <w:rFonts w:ascii="宋体" w:hAnsi="宋体" w:eastAsia="宋体" w:cs="宋体"/>
                <w:color w:val="000000"/>
                <w:kern w:val="0"/>
                <w:sz w:val="22"/>
              </w:rPr>
            </w:pPr>
            <w:r>
              <w:rPr>
                <w:rFonts w:hint="eastAsia" w:ascii="宋体" w:hAnsi="宋体" w:eastAsia="宋体" w:cs="宋体"/>
                <w:color w:val="000000"/>
                <w:kern w:val="0"/>
                <w:sz w:val="22"/>
              </w:rPr>
              <w:t>国家级学科竞赛奖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一等奖</w:t>
            </w:r>
          </w:p>
        </w:tc>
        <w:tc>
          <w:tcPr>
            <w:tcW w:w="16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二等奖</w:t>
            </w:r>
          </w:p>
        </w:tc>
        <w:tc>
          <w:tcPr>
            <w:tcW w:w="16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三等奖</w:t>
            </w:r>
          </w:p>
        </w:tc>
        <w:tc>
          <w:tcPr>
            <w:tcW w:w="16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restart"/>
          </w:tcPr>
          <w:p>
            <w:pPr>
              <w:spacing w:line="1200" w:lineRule="auto"/>
              <w:jc w:val="center"/>
              <w:rPr>
                <w:rFonts w:ascii="宋体" w:hAnsi="宋体" w:eastAsia="宋体" w:cs="宋体"/>
                <w:color w:val="000000"/>
                <w:kern w:val="0"/>
                <w:sz w:val="22"/>
              </w:rPr>
            </w:pPr>
            <w:r>
              <w:rPr>
                <w:rFonts w:hint="eastAsia" w:ascii="宋体" w:hAnsi="宋体" w:eastAsia="宋体" w:cs="宋体"/>
                <w:color w:val="000000"/>
                <w:kern w:val="0"/>
                <w:sz w:val="22"/>
              </w:rPr>
              <w:t>省级学科竞赛奖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一等奖</w:t>
            </w:r>
          </w:p>
        </w:tc>
        <w:tc>
          <w:tcPr>
            <w:tcW w:w="16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二等奖</w:t>
            </w:r>
          </w:p>
        </w:tc>
        <w:tc>
          <w:tcPr>
            <w:tcW w:w="16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667"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三等奖</w:t>
            </w:r>
          </w:p>
        </w:tc>
        <w:tc>
          <w:tcPr>
            <w:tcW w:w="16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bl>
    <w:p>
      <w:pPr>
        <w:pStyle w:val="10"/>
        <w:numPr>
          <w:ilvl w:val="0"/>
          <w:numId w:val="1"/>
        </w:numPr>
        <w:spacing w:line="360" w:lineRule="auto"/>
        <w:ind w:firstLineChars="0"/>
        <w:rPr>
          <w:rFonts w:ascii="宋体" w:hAnsi="宋体" w:eastAsia="宋体" w:cs="宋体"/>
          <w:sz w:val="22"/>
        </w:rPr>
      </w:pPr>
      <w:r>
        <w:rPr>
          <w:rFonts w:hint="eastAsia" w:ascii="宋体" w:hAnsi="宋体" w:eastAsia="宋体" w:cs="宋体"/>
          <w:sz w:val="22"/>
        </w:rPr>
        <w:t>其他科创活动加分</w:t>
      </w:r>
    </w:p>
    <w:p>
      <w:pPr>
        <w:pStyle w:val="10"/>
        <w:spacing w:line="360" w:lineRule="auto"/>
        <w:ind w:firstLine="440"/>
        <w:rPr>
          <w:rFonts w:ascii="宋体" w:hAnsi="宋体" w:eastAsia="宋体" w:cs="宋体"/>
          <w:sz w:val="22"/>
        </w:rPr>
      </w:pPr>
      <w:r>
        <w:rPr>
          <w:rFonts w:hint="eastAsia" w:ascii="宋体" w:hAnsi="宋体" w:eastAsia="宋体" w:cs="宋体"/>
          <w:sz w:val="22"/>
        </w:rPr>
        <w:t>除学校指定的国家级、省级学科竞赛外，对参加土木工程专业相关领域的学科竞赛及科研创新训练等科创活动、学校土木科技月取得突出成绩的同学，根据各赛事的规模、影响力及与本专业、学科的关系，按以下原则给予加分：</w:t>
      </w:r>
    </w:p>
    <w:p>
      <w:pPr>
        <w:spacing w:line="360" w:lineRule="auto"/>
        <w:rPr>
          <w:rFonts w:ascii="宋体" w:hAnsi="宋体" w:eastAsia="宋体" w:cs="宋体"/>
          <w:sz w:val="22"/>
        </w:rPr>
      </w:pPr>
    </w:p>
    <w:p>
      <w:pPr>
        <w:spacing w:line="360" w:lineRule="auto"/>
        <w:rPr>
          <w:rFonts w:hint="eastAsia" w:ascii="宋体" w:hAnsi="宋体" w:eastAsia="宋体" w:cs="宋体"/>
          <w:sz w:val="22"/>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spacing w:line="36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竞赛项目</w:t>
            </w:r>
          </w:p>
        </w:tc>
        <w:tc>
          <w:tcPr>
            <w:tcW w:w="1666" w:type="pct"/>
          </w:tcPr>
          <w:p>
            <w:pPr>
              <w:spacing w:line="36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获奖等级</w:t>
            </w:r>
          </w:p>
        </w:tc>
        <w:tc>
          <w:tcPr>
            <w:tcW w:w="1667" w:type="pct"/>
          </w:tcPr>
          <w:p>
            <w:pPr>
              <w:spacing w:line="36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vAlign w:val="center"/>
          </w:tcPr>
          <w:p>
            <w:pPr>
              <w:pStyle w:val="11"/>
              <w:jc w:val="center"/>
              <w:rPr>
                <w:rFonts w:ascii="宋体" w:hAnsi="宋体" w:eastAsia="宋体" w:cs="宋体"/>
                <w:sz w:val="22"/>
                <w:szCs w:val="22"/>
              </w:rPr>
            </w:pPr>
            <w:r>
              <w:rPr>
                <w:rFonts w:hint="eastAsia" w:ascii="宋体" w:hAnsi="宋体" w:eastAsia="宋体" w:cs="宋体"/>
                <w:sz w:val="22"/>
                <w:szCs w:val="22"/>
              </w:rPr>
              <w:t>土木工程相关领域国际性或全国性竞赛</w:t>
            </w: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ascii="宋体" w:hAnsi="宋体" w:eastAsia="宋体" w:cs="宋体"/>
                <w:color w:val="000000"/>
                <w:kern w:val="0"/>
                <w:sz w:val="22"/>
              </w:rPr>
            </w:pP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ascii="宋体" w:hAnsi="宋体" w:eastAsia="宋体" w:cs="宋体"/>
                <w:color w:val="000000"/>
                <w:kern w:val="0"/>
                <w:sz w:val="22"/>
              </w:rPr>
            </w:pP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tcPr>
          <w:p>
            <w:pPr>
              <w:pStyle w:val="11"/>
              <w:spacing w:before="468" w:beforeLines="150"/>
              <w:jc w:val="center"/>
              <w:rPr>
                <w:rFonts w:ascii="宋体" w:hAnsi="宋体" w:eastAsia="宋体" w:cs="宋体"/>
                <w:sz w:val="22"/>
                <w:szCs w:val="22"/>
              </w:rPr>
            </w:pPr>
            <w:r>
              <w:rPr>
                <w:rFonts w:hint="eastAsia" w:ascii="宋体" w:hAnsi="宋体" w:eastAsia="宋体" w:cs="宋体"/>
                <w:sz w:val="22"/>
                <w:szCs w:val="22"/>
              </w:rPr>
              <w:t>土木工程相关领域省级、片区性竞赛</w:t>
            </w: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ascii="宋体" w:hAnsi="宋体" w:eastAsia="宋体" w:cs="宋体"/>
                <w:color w:val="000000"/>
                <w:kern w:val="0"/>
                <w:sz w:val="22"/>
              </w:rPr>
            </w:pP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ascii="宋体" w:hAnsi="宋体" w:eastAsia="宋体" w:cs="宋体"/>
                <w:color w:val="000000"/>
                <w:kern w:val="0"/>
                <w:sz w:val="22"/>
              </w:rPr>
            </w:pP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vAlign w:val="center"/>
          </w:tcPr>
          <w:p>
            <w:pPr>
              <w:pStyle w:val="11"/>
              <w:spacing w:line="1200" w:lineRule="auto"/>
              <w:jc w:val="center"/>
              <w:rPr>
                <w:rFonts w:ascii="宋体" w:hAnsi="宋体" w:eastAsia="宋体" w:cs="宋体"/>
                <w:sz w:val="22"/>
                <w:szCs w:val="22"/>
              </w:rPr>
            </w:pPr>
            <w:r>
              <w:rPr>
                <w:rFonts w:hint="eastAsia" w:ascii="宋体" w:hAnsi="宋体" w:eastAsia="宋体" w:cs="宋体"/>
                <w:sz w:val="22"/>
                <w:szCs w:val="22"/>
              </w:rPr>
              <w:t>土木科技月系列比赛</w:t>
            </w: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66" w:type="pct"/>
            <w:vMerge w:val="continue"/>
            <w:vAlign w:val="center"/>
          </w:tcPr>
          <w:p>
            <w:pPr>
              <w:spacing w:line="360" w:lineRule="auto"/>
              <w:jc w:val="center"/>
              <w:rPr>
                <w:rFonts w:ascii="宋体" w:hAnsi="宋体" w:eastAsia="宋体" w:cs="宋体"/>
                <w:color w:val="000000"/>
                <w:kern w:val="0"/>
                <w:sz w:val="22"/>
              </w:rPr>
            </w:pP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666" w:type="pct"/>
            <w:vMerge w:val="continue"/>
            <w:vAlign w:val="center"/>
          </w:tcPr>
          <w:p>
            <w:pPr>
              <w:spacing w:line="360" w:lineRule="auto"/>
              <w:jc w:val="center"/>
              <w:rPr>
                <w:rFonts w:ascii="宋体" w:hAnsi="宋体" w:eastAsia="宋体" w:cs="宋体"/>
                <w:color w:val="000000"/>
                <w:kern w:val="0"/>
                <w:sz w:val="22"/>
              </w:rPr>
            </w:pP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restart"/>
            <w:vAlign w:val="center"/>
          </w:tcPr>
          <w:p>
            <w:pPr>
              <w:pStyle w:val="11"/>
              <w:spacing w:line="1200" w:lineRule="auto"/>
              <w:jc w:val="center"/>
              <w:rPr>
                <w:rFonts w:ascii="宋体" w:hAnsi="宋体" w:eastAsia="宋体" w:cs="宋体"/>
                <w:sz w:val="22"/>
                <w:szCs w:val="22"/>
              </w:rPr>
            </w:pPr>
            <w:r>
              <w:rPr>
                <w:rFonts w:hint="eastAsia" w:ascii="宋体" w:hAnsi="宋体" w:eastAsia="宋体" w:cs="宋体"/>
                <w:sz w:val="22"/>
                <w:szCs w:val="22"/>
              </w:rPr>
              <w:t>校（院）级其他学科竞赛</w:t>
            </w: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66" w:type="pct"/>
            <w:vMerge w:val="continue"/>
            <w:vAlign w:val="center"/>
          </w:tcPr>
          <w:p>
            <w:pPr>
              <w:spacing w:line="360" w:lineRule="auto"/>
              <w:jc w:val="center"/>
              <w:rPr>
                <w:rFonts w:ascii="宋体" w:hAnsi="宋体" w:eastAsia="宋体" w:cs="宋体"/>
                <w:color w:val="000000"/>
                <w:kern w:val="0"/>
                <w:sz w:val="22"/>
              </w:rPr>
            </w:pP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vMerge w:val="continue"/>
            <w:vAlign w:val="center"/>
          </w:tcPr>
          <w:p>
            <w:pPr>
              <w:spacing w:line="360" w:lineRule="auto"/>
              <w:jc w:val="center"/>
              <w:rPr>
                <w:rFonts w:ascii="宋体" w:hAnsi="宋体" w:eastAsia="宋体" w:cs="宋体"/>
                <w:color w:val="000000"/>
                <w:kern w:val="0"/>
                <w:sz w:val="22"/>
              </w:rPr>
            </w:pPr>
          </w:p>
        </w:tc>
        <w:tc>
          <w:tcPr>
            <w:tcW w:w="1666"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三等奖</w:t>
            </w:r>
          </w:p>
        </w:tc>
        <w:tc>
          <w:tcPr>
            <w:tcW w:w="1667" w:type="pct"/>
            <w:vAlign w:val="center"/>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0.5</w:t>
            </w:r>
          </w:p>
        </w:tc>
      </w:tr>
    </w:tbl>
    <w:p>
      <w:pPr>
        <w:spacing w:line="360" w:lineRule="auto"/>
        <w:ind w:firstLine="440" w:firstLineChars="200"/>
        <w:rPr>
          <w:rFonts w:ascii="宋体" w:hAnsi="宋体" w:eastAsia="宋体" w:cs="宋体"/>
          <w:sz w:val="22"/>
        </w:rPr>
      </w:pPr>
      <w:r>
        <w:rPr>
          <w:rFonts w:hint="eastAsia" w:ascii="宋体" w:hAnsi="宋体" w:eastAsia="宋体" w:cs="宋体"/>
          <w:sz w:val="22"/>
        </w:rPr>
        <w:t>一等奖包括第一、第二名；二等奖包括第三、四、五名；三等奖包括第六、七、八名。设有特等奖奖项的竞赛，特等奖均按一等奖进行加分，其他保持不变。参加其他科创活动获奖的团队，按照参赛报名顺序，第一、第二、第三参与人按照相应加分标准申请加分，第四、第五参与人在相应加分标准基础上乘 0.5 的系数，其他参与人不加分。</w:t>
      </w:r>
    </w:p>
    <w:p>
      <w:pPr>
        <w:pStyle w:val="10"/>
        <w:spacing w:line="360" w:lineRule="auto"/>
        <w:ind w:firstLine="440"/>
        <w:rPr>
          <w:rFonts w:ascii="宋体" w:hAnsi="宋体" w:eastAsia="宋体" w:cs="宋体"/>
          <w:sz w:val="22"/>
        </w:rPr>
      </w:pPr>
      <w:r>
        <w:rPr>
          <w:rFonts w:hint="eastAsia" w:ascii="宋体" w:hAnsi="宋体" w:eastAsia="宋体" w:cs="宋体"/>
          <w:sz w:val="22"/>
        </w:rPr>
        <w:t>3、学生工作占本次成绩的6%（最多6分，可累加，同一类别取最高项加分），具体如下：</w:t>
      </w:r>
    </w:p>
    <w:p>
      <w:pPr>
        <w:pStyle w:val="10"/>
        <w:spacing w:line="360" w:lineRule="auto"/>
        <w:ind w:firstLine="440"/>
        <w:rPr>
          <w:rFonts w:ascii="宋体" w:hAnsi="宋体" w:eastAsia="宋体" w:cs="宋体"/>
          <w:sz w:val="22"/>
        </w:rPr>
      </w:pPr>
      <w:r>
        <w:rPr>
          <w:rFonts w:hint="eastAsia" w:ascii="宋体" w:hAnsi="宋体" w:eastAsia="宋体" w:cs="宋体"/>
          <w:sz w:val="22"/>
        </w:rPr>
        <w:t>在学校、学院学生组织中、党支部中担任干部，且任职时间一学期及以上；在班级中担任班长、团支书职务、体委等，且任职时间连续一年及以上，该学生组织所在主管单位认可并考核合格的，按照以下原则进行加分：</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4368"/>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tcPr>
          <w:p>
            <w:pPr>
              <w:pStyle w:val="11"/>
              <w:spacing w:line="360" w:lineRule="auto"/>
              <w:jc w:val="center"/>
              <w:rPr>
                <w:rFonts w:ascii="宋体" w:hAnsi="宋体" w:eastAsia="宋体" w:cs="宋体"/>
                <w:b/>
                <w:bCs/>
                <w:sz w:val="22"/>
                <w:szCs w:val="22"/>
              </w:rPr>
            </w:pPr>
            <w:r>
              <w:rPr>
                <w:rFonts w:hint="eastAsia" w:ascii="宋体" w:hAnsi="宋体" w:eastAsia="宋体" w:cs="宋体"/>
                <w:b/>
                <w:bCs/>
                <w:sz w:val="22"/>
                <w:szCs w:val="22"/>
              </w:rPr>
              <w:t>类别</w:t>
            </w:r>
          </w:p>
        </w:tc>
        <w:tc>
          <w:tcPr>
            <w:tcW w:w="2563" w:type="pct"/>
          </w:tcPr>
          <w:p>
            <w:pPr>
              <w:pStyle w:val="11"/>
              <w:spacing w:line="360" w:lineRule="auto"/>
              <w:ind w:firstLine="1809" w:firstLineChars="819"/>
              <w:jc w:val="both"/>
              <w:rPr>
                <w:rFonts w:ascii="宋体" w:hAnsi="宋体" w:eastAsia="宋体" w:cs="宋体"/>
                <w:b/>
                <w:bCs/>
                <w:sz w:val="22"/>
                <w:szCs w:val="22"/>
              </w:rPr>
            </w:pPr>
            <w:r>
              <w:rPr>
                <w:rFonts w:hint="eastAsia" w:ascii="宋体" w:hAnsi="宋体" w:eastAsia="宋体" w:cs="宋体"/>
                <w:b/>
                <w:bCs/>
                <w:sz w:val="22"/>
                <w:szCs w:val="22"/>
              </w:rPr>
              <w:t>职务</w:t>
            </w:r>
          </w:p>
        </w:tc>
        <w:tc>
          <w:tcPr>
            <w:tcW w:w="1244" w:type="pct"/>
          </w:tcPr>
          <w:p>
            <w:pPr>
              <w:pStyle w:val="11"/>
              <w:spacing w:line="360" w:lineRule="auto"/>
              <w:jc w:val="center"/>
              <w:rPr>
                <w:rFonts w:ascii="宋体" w:hAnsi="宋体" w:eastAsia="宋体" w:cs="宋体"/>
                <w:b/>
                <w:bCs/>
                <w:sz w:val="22"/>
                <w:szCs w:val="22"/>
              </w:rPr>
            </w:pPr>
            <w:r>
              <w:rPr>
                <w:rFonts w:hint="eastAsia" w:ascii="宋体" w:hAnsi="宋体" w:eastAsia="宋体" w:cs="宋体"/>
                <w:b/>
                <w:bCs/>
                <w:sz w:val="22"/>
                <w:szCs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restart"/>
          </w:tcPr>
          <w:p>
            <w:pPr>
              <w:pStyle w:val="11"/>
              <w:spacing w:line="1200" w:lineRule="auto"/>
              <w:jc w:val="center"/>
              <w:rPr>
                <w:rFonts w:ascii="宋体" w:hAnsi="宋体" w:eastAsia="宋体" w:cs="宋体"/>
                <w:sz w:val="22"/>
                <w:szCs w:val="22"/>
              </w:rPr>
            </w:pPr>
            <w:r>
              <w:rPr>
                <w:rFonts w:hint="eastAsia" w:ascii="宋体" w:hAnsi="宋体" w:eastAsia="宋体" w:cs="宋体"/>
                <w:sz w:val="22"/>
                <w:szCs w:val="22"/>
              </w:rPr>
              <w:t>社团或学生组织</w:t>
            </w:r>
          </w:p>
        </w:tc>
        <w:tc>
          <w:tcPr>
            <w:tcW w:w="2563"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主席（或相当于主席）</w:t>
            </w:r>
          </w:p>
        </w:tc>
        <w:tc>
          <w:tcPr>
            <w:tcW w:w="1244" w:type="pct"/>
          </w:tcPr>
          <w:p>
            <w:pPr>
              <w:spacing w:line="360" w:lineRule="auto"/>
              <w:jc w:val="center"/>
              <w:rPr>
                <w:rFonts w:ascii="宋体" w:hAnsi="宋体" w:eastAsia="宋体" w:cs="宋体"/>
                <w:sz w:val="22"/>
              </w:rPr>
            </w:pPr>
            <w:r>
              <w:rPr>
                <w:rFonts w:hint="eastAsia" w:ascii="宋体" w:hAnsi="宋体" w:eastAsia="宋体" w:cs="宋体"/>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continue"/>
          </w:tcPr>
          <w:p>
            <w:pPr>
              <w:pStyle w:val="11"/>
              <w:spacing w:line="360" w:lineRule="auto"/>
              <w:jc w:val="center"/>
              <w:rPr>
                <w:rFonts w:ascii="宋体" w:hAnsi="宋体" w:eastAsia="宋体" w:cs="宋体"/>
                <w:sz w:val="22"/>
                <w:szCs w:val="22"/>
              </w:rPr>
            </w:pPr>
          </w:p>
        </w:tc>
        <w:tc>
          <w:tcPr>
            <w:tcW w:w="2563"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副主席（或相当于副主席）</w:t>
            </w:r>
          </w:p>
        </w:tc>
        <w:tc>
          <w:tcPr>
            <w:tcW w:w="1244" w:type="pct"/>
          </w:tcPr>
          <w:p>
            <w:pPr>
              <w:spacing w:line="360" w:lineRule="auto"/>
              <w:jc w:val="center"/>
              <w:rPr>
                <w:rFonts w:ascii="宋体" w:hAnsi="宋体" w:eastAsia="宋体" w:cs="宋体"/>
                <w:sz w:val="22"/>
              </w:rPr>
            </w:pPr>
            <w:r>
              <w:rPr>
                <w:rFonts w:hint="eastAsia" w:ascii="宋体" w:hAnsi="宋体" w:eastAsia="宋体" w:cs="宋体"/>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continue"/>
          </w:tcPr>
          <w:p>
            <w:pPr>
              <w:spacing w:line="360" w:lineRule="auto"/>
              <w:jc w:val="center"/>
              <w:rPr>
                <w:rFonts w:ascii="宋体" w:hAnsi="宋体" w:eastAsia="宋体" w:cs="宋体"/>
                <w:color w:val="000000"/>
                <w:kern w:val="0"/>
                <w:sz w:val="22"/>
              </w:rPr>
            </w:pPr>
          </w:p>
        </w:tc>
        <w:tc>
          <w:tcPr>
            <w:tcW w:w="2563"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部长及副部长</w:t>
            </w:r>
          </w:p>
        </w:tc>
        <w:tc>
          <w:tcPr>
            <w:tcW w:w="1244" w:type="pct"/>
          </w:tcPr>
          <w:p>
            <w:pPr>
              <w:spacing w:line="360" w:lineRule="auto"/>
              <w:jc w:val="center"/>
              <w:rPr>
                <w:rFonts w:ascii="宋体" w:hAnsi="宋体" w:eastAsia="宋体" w:cs="宋体"/>
                <w:sz w:val="22"/>
              </w:rPr>
            </w:pPr>
            <w:r>
              <w:rPr>
                <w:rFonts w:hint="eastAsia" w:ascii="宋体" w:hAnsi="宋体" w:eastAsia="宋体" w:cs="宋体"/>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restart"/>
          </w:tcPr>
          <w:p>
            <w:pPr>
              <w:spacing w:line="720" w:lineRule="auto"/>
              <w:jc w:val="center"/>
              <w:rPr>
                <w:rFonts w:ascii="宋体" w:hAnsi="宋体" w:eastAsia="宋体" w:cs="宋体"/>
                <w:color w:val="000000"/>
                <w:kern w:val="0"/>
                <w:sz w:val="22"/>
              </w:rPr>
            </w:pPr>
            <w:r>
              <w:rPr>
                <w:rFonts w:hint="eastAsia" w:ascii="宋体" w:hAnsi="宋体" w:eastAsia="宋体" w:cs="宋体"/>
                <w:color w:val="000000"/>
                <w:kern w:val="0"/>
                <w:sz w:val="22"/>
              </w:rPr>
              <w:t>班级</w:t>
            </w:r>
          </w:p>
        </w:tc>
        <w:tc>
          <w:tcPr>
            <w:tcW w:w="2563"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班长、团支书</w:t>
            </w:r>
          </w:p>
        </w:tc>
        <w:tc>
          <w:tcPr>
            <w:tcW w:w="1244" w:type="pct"/>
          </w:tcPr>
          <w:p>
            <w:pPr>
              <w:spacing w:line="360" w:lineRule="auto"/>
              <w:jc w:val="center"/>
              <w:rPr>
                <w:rFonts w:ascii="宋体" w:hAnsi="宋体" w:eastAsia="宋体" w:cs="宋体"/>
                <w:sz w:val="22"/>
              </w:rPr>
            </w:pPr>
            <w:r>
              <w:rPr>
                <w:rFonts w:hint="eastAsia" w:ascii="宋体" w:hAnsi="宋体" w:eastAsia="宋体" w:cs="宋体"/>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continue"/>
          </w:tcPr>
          <w:p>
            <w:pPr>
              <w:spacing w:line="360" w:lineRule="auto"/>
              <w:jc w:val="center"/>
              <w:rPr>
                <w:rFonts w:ascii="宋体" w:hAnsi="宋体" w:eastAsia="宋体" w:cs="宋体"/>
                <w:color w:val="000000"/>
                <w:kern w:val="0"/>
                <w:sz w:val="22"/>
              </w:rPr>
            </w:pPr>
          </w:p>
        </w:tc>
        <w:tc>
          <w:tcPr>
            <w:tcW w:w="2563"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其他班级干部</w:t>
            </w:r>
          </w:p>
        </w:tc>
        <w:tc>
          <w:tcPr>
            <w:tcW w:w="1244" w:type="pct"/>
          </w:tcPr>
          <w:p>
            <w:pPr>
              <w:spacing w:line="360" w:lineRule="auto"/>
              <w:jc w:val="center"/>
              <w:rPr>
                <w:rFonts w:ascii="宋体" w:hAnsi="宋体" w:eastAsia="宋体" w:cs="宋体"/>
                <w:sz w:val="22"/>
              </w:rPr>
            </w:pPr>
            <w:r>
              <w:rPr>
                <w:rFonts w:hint="eastAsia" w:ascii="宋体" w:hAnsi="宋体" w:eastAsia="宋体" w:cs="宋体"/>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restart"/>
          </w:tcPr>
          <w:p>
            <w:pPr>
              <w:spacing w:line="720" w:lineRule="auto"/>
              <w:jc w:val="center"/>
              <w:rPr>
                <w:rFonts w:ascii="宋体" w:hAnsi="宋体" w:eastAsia="宋体" w:cs="宋体"/>
                <w:color w:val="000000"/>
                <w:kern w:val="0"/>
                <w:sz w:val="22"/>
              </w:rPr>
            </w:pPr>
            <w:r>
              <w:rPr>
                <w:rFonts w:hint="eastAsia" w:ascii="宋体" w:hAnsi="宋体" w:eastAsia="宋体" w:cs="宋体"/>
                <w:color w:val="000000"/>
                <w:kern w:val="0"/>
                <w:sz w:val="22"/>
              </w:rPr>
              <w:t>党支部</w:t>
            </w:r>
          </w:p>
        </w:tc>
        <w:tc>
          <w:tcPr>
            <w:tcW w:w="2563"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党支部书记</w:t>
            </w:r>
          </w:p>
        </w:tc>
        <w:tc>
          <w:tcPr>
            <w:tcW w:w="1244" w:type="pct"/>
          </w:tcPr>
          <w:p>
            <w:pPr>
              <w:spacing w:line="360" w:lineRule="auto"/>
              <w:jc w:val="center"/>
              <w:rPr>
                <w:rFonts w:ascii="宋体" w:hAnsi="宋体" w:eastAsia="宋体" w:cs="宋体"/>
                <w:sz w:val="22"/>
              </w:rPr>
            </w:pPr>
            <w:r>
              <w:rPr>
                <w:rFonts w:hint="eastAsia" w:ascii="宋体" w:hAnsi="宋体" w:eastAsia="宋体" w:cs="宋体"/>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93" w:type="pct"/>
            <w:vMerge w:val="continue"/>
          </w:tcPr>
          <w:p>
            <w:pPr>
              <w:spacing w:line="360" w:lineRule="auto"/>
              <w:jc w:val="center"/>
              <w:rPr>
                <w:rFonts w:ascii="宋体" w:hAnsi="宋体" w:eastAsia="宋体" w:cs="宋体"/>
                <w:color w:val="000000"/>
                <w:kern w:val="0"/>
                <w:sz w:val="22"/>
              </w:rPr>
            </w:pPr>
          </w:p>
        </w:tc>
        <w:tc>
          <w:tcPr>
            <w:tcW w:w="2563"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党支部委员</w:t>
            </w:r>
          </w:p>
        </w:tc>
        <w:tc>
          <w:tcPr>
            <w:tcW w:w="1244" w:type="pct"/>
          </w:tcPr>
          <w:p>
            <w:pPr>
              <w:spacing w:line="360" w:lineRule="auto"/>
              <w:jc w:val="center"/>
              <w:rPr>
                <w:rFonts w:ascii="宋体" w:hAnsi="宋体" w:eastAsia="宋体" w:cs="宋体"/>
                <w:sz w:val="22"/>
              </w:rPr>
            </w:pPr>
            <w:r>
              <w:rPr>
                <w:rFonts w:hint="eastAsia" w:ascii="宋体" w:hAnsi="宋体" w:eastAsia="宋体" w:cs="宋体"/>
                <w:sz w:val="22"/>
              </w:rPr>
              <w:t>2</w:t>
            </w:r>
          </w:p>
        </w:tc>
      </w:tr>
    </w:tbl>
    <w:p>
      <w:pPr>
        <w:spacing w:line="360" w:lineRule="auto"/>
        <w:ind w:firstLine="440" w:firstLineChars="200"/>
        <w:rPr>
          <w:rFonts w:ascii="宋体" w:hAnsi="宋体" w:eastAsia="宋体" w:cs="宋体"/>
          <w:sz w:val="22"/>
        </w:rPr>
      </w:pPr>
      <w:r>
        <w:rPr>
          <w:rFonts w:hint="eastAsia" w:ascii="宋体" w:hAnsi="宋体" w:eastAsia="宋体" w:cs="宋体"/>
          <w:sz w:val="22"/>
        </w:rPr>
        <w:t>申请学生干部加分需提供聘书或任职证明，经主管单位负责人签字并加盖单位公章后有效。</w:t>
      </w:r>
    </w:p>
    <w:p>
      <w:pPr>
        <w:pStyle w:val="10"/>
        <w:spacing w:line="360" w:lineRule="auto"/>
        <w:ind w:firstLine="440"/>
        <w:rPr>
          <w:rFonts w:ascii="宋体" w:hAnsi="宋体" w:eastAsia="宋体" w:cs="宋体"/>
          <w:sz w:val="22"/>
        </w:rPr>
      </w:pPr>
      <w:r>
        <w:rPr>
          <w:rFonts w:hint="eastAsia" w:ascii="宋体" w:hAnsi="宋体" w:eastAsia="宋体" w:cs="宋体"/>
          <w:sz w:val="22"/>
        </w:rPr>
        <w:t>4、个人荣誉加分占总成绩的6%（最多6分，不同奖项可累加），具体如下：</w:t>
      </w:r>
    </w:p>
    <w:p>
      <w:pPr>
        <w:pStyle w:val="10"/>
        <w:spacing w:line="360" w:lineRule="auto"/>
        <w:ind w:firstLine="440"/>
        <w:rPr>
          <w:rFonts w:ascii="宋体" w:hAnsi="宋体" w:eastAsia="宋体" w:cs="宋体"/>
          <w:sz w:val="22"/>
        </w:rPr>
      </w:pPr>
      <w:r>
        <w:rPr>
          <w:rFonts w:hint="eastAsia" w:ascii="宋体" w:hAnsi="宋体" w:eastAsia="宋体" w:cs="宋体"/>
          <w:sz w:val="22"/>
        </w:rPr>
        <w:t>对于获得国家、省市、学校、学院荣誉表彰的，按以下原则进行加分：</w:t>
      </w:r>
    </w:p>
    <w:p>
      <w:pPr>
        <w:pStyle w:val="10"/>
        <w:spacing w:line="360" w:lineRule="auto"/>
        <w:ind w:firstLine="440"/>
        <w:rPr>
          <w:rFonts w:hint="eastAsia" w:ascii="宋体" w:hAnsi="宋体" w:eastAsia="宋体" w:cs="宋体"/>
          <w:sz w:val="22"/>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4"/>
        <w:gridCol w:w="1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3904" w:type="pct"/>
          </w:tcPr>
          <w:p>
            <w:pPr>
              <w:pStyle w:val="11"/>
              <w:spacing w:line="360" w:lineRule="auto"/>
              <w:jc w:val="center"/>
              <w:rPr>
                <w:rFonts w:ascii="宋体" w:hAnsi="宋体" w:eastAsia="宋体" w:cs="宋体"/>
                <w:b/>
                <w:bCs/>
                <w:sz w:val="22"/>
                <w:szCs w:val="22"/>
              </w:rPr>
            </w:pPr>
            <w:r>
              <w:rPr>
                <w:rFonts w:hint="eastAsia" w:ascii="宋体" w:hAnsi="宋体" w:eastAsia="宋体" w:cs="宋体"/>
                <w:b/>
                <w:bCs/>
                <w:sz w:val="22"/>
                <w:szCs w:val="22"/>
              </w:rPr>
              <w:t>荣誉类别</w:t>
            </w:r>
          </w:p>
        </w:tc>
        <w:tc>
          <w:tcPr>
            <w:tcW w:w="1096" w:type="pct"/>
          </w:tcPr>
          <w:p>
            <w:pPr>
              <w:pStyle w:val="11"/>
              <w:spacing w:line="360" w:lineRule="auto"/>
              <w:jc w:val="center"/>
              <w:rPr>
                <w:rFonts w:ascii="宋体" w:hAnsi="宋体" w:eastAsia="宋体" w:cs="宋体"/>
                <w:b/>
                <w:bCs/>
                <w:sz w:val="22"/>
                <w:szCs w:val="22"/>
              </w:rPr>
            </w:pPr>
            <w:r>
              <w:rPr>
                <w:rFonts w:hint="eastAsia" w:ascii="宋体" w:hAnsi="宋体" w:eastAsia="宋体" w:cs="宋体"/>
                <w:b/>
                <w:bCs/>
                <w:sz w:val="22"/>
                <w:szCs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3904" w:type="pct"/>
          </w:tcPr>
          <w:p>
            <w:pPr>
              <w:pStyle w:val="11"/>
              <w:spacing w:line="360" w:lineRule="auto"/>
              <w:jc w:val="center"/>
              <w:rPr>
                <w:rFonts w:ascii="宋体" w:hAnsi="宋体" w:eastAsia="宋体" w:cs="宋体"/>
                <w:sz w:val="22"/>
                <w:szCs w:val="22"/>
              </w:rPr>
            </w:pPr>
            <w:r>
              <w:rPr>
                <w:rFonts w:hint="eastAsia" w:ascii="宋体" w:hAnsi="宋体" w:eastAsia="宋体" w:cs="宋体"/>
                <w:sz w:val="22"/>
                <w:szCs w:val="22"/>
              </w:rPr>
              <w:t>竢实扬华奖章、省三好学生、省优秀干部、感动交大十大人物、最美交大人、西南交通大学自强之星、校优秀党务工作者</w:t>
            </w:r>
          </w:p>
        </w:tc>
        <w:tc>
          <w:tcPr>
            <w:tcW w:w="1096" w:type="pct"/>
          </w:tcPr>
          <w:p>
            <w:pPr>
              <w:pStyle w:val="10"/>
              <w:spacing w:line="72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3904" w:type="pct"/>
          </w:tcPr>
          <w:p>
            <w:pPr>
              <w:pStyle w:val="11"/>
              <w:spacing w:line="360" w:lineRule="auto"/>
              <w:jc w:val="center"/>
              <w:rPr>
                <w:rFonts w:ascii="宋体" w:hAnsi="宋体" w:eastAsia="宋体" w:cs="宋体"/>
                <w:sz w:val="22"/>
                <w:szCs w:val="22"/>
              </w:rPr>
            </w:pPr>
            <w:r>
              <w:rPr>
                <w:rFonts w:hint="eastAsia" w:ascii="宋体" w:hAnsi="宋体" w:eastAsia="宋体" w:cs="宋体"/>
                <w:sz w:val="22"/>
                <w:szCs w:val="22"/>
              </w:rPr>
              <w:t>校三好标兵、十大优秀寝室长、十佳团支部书记、十佳班长、院级优秀党员</w:t>
            </w:r>
          </w:p>
        </w:tc>
        <w:tc>
          <w:tcPr>
            <w:tcW w:w="1096" w:type="pct"/>
          </w:tcPr>
          <w:p>
            <w:pPr>
              <w:pStyle w:val="10"/>
              <w:spacing w:line="72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3904" w:type="pct"/>
          </w:tcPr>
          <w:p>
            <w:pPr>
              <w:pStyle w:val="11"/>
              <w:spacing w:line="360" w:lineRule="auto"/>
              <w:jc w:val="center"/>
              <w:rPr>
                <w:rFonts w:ascii="宋体" w:hAnsi="宋体" w:eastAsia="宋体" w:cs="宋体"/>
                <w:sz w:val="22"/>
                <w:szCs w:val="22"/>
              </w:rPr>
            </w:pPr>
            <w:r>
              <w:rPr>
                <w:rFonts w:hint="eastAsia" w:ascii="宋体" w:hAnsi="宋体" w:eastAsia="宋体" w:cs="宋体"/>
                <w:sz w:val="22"/>
                <w:szCs w:val="22"/>
              </w:rPr>
              <w:t>校三好学生、校优秀学生干部、校优秀团干、五星级志愿者、综合素质 A 级证书</w:t>
            </w:r>
          </w:p>
        </w:tc>
        <w:tc>
          <w:tcPr>
            <w:tcW w:w="1096" w:type="pct"/>
          </w:tcPr>
          <w:p>
            <w:pPr>
              <w:pStyle w:val="10"/>
              <w:spacing w:line="72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3904" w:type="pct"/>
          </w:tcPr>
          <w:p>
            <w:pPr>
              <w:pStyle w:val="11"/>
              <w:spacing w:line="360" w:lineRule="auto"/>
              <w:jc w:val="center"/>
              <w:rPr>
                <w:rFonts w:ascii="宋体" w:hAnsi="宋体" w:eastAsia="宋体" w:cs="宋体"/>
                <w:sz w:val="22"/>
                <w:szCs w:val="22"/>
              </w:rPr>
            </w:pPr>
            <w:r>
              <w:rPr>
                <w:rFonts w:hint="eastAsia" w:ascii="宋体" w:hAnsi="宋体" w:eastAsia="宋体" w:cs="宋体"/>
                <w:sz w:val="22"/>
                <w:szCs w:val="22"/>
              </w:rPr>
              <w:t>校明诚奖、优秀团员、四星级志愿者及其他校级表彰</w:t>
            </w:r>
          </w:p>
        </w:tc>
        <w:tc>
          <w:tcPr>
            <w:tcW w:w="1096" w:type="pct"/>
          </w:tcPr>
          <w:p>
            <w:pPr>
              <w:pStyle w:val="10"/>
              <w:spacing w:line="72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1</w:t>
            </w:r>
          </w:p>
        </w:tc>
      </w:tr>
    </w:tbl>
    <w:p>
      <w:pPr>
        <w:pStyle w:val="10"/>
        <w:spacing w:line="360" w:lineRule="auto"/>
        <w:ind w:firstLine="440"/>
        <w:rPr>
          <w:rFonts w:ascii="宋体" w:hAnsi="宋体" w:eastAsia="宋体" w:cs="宋体"/>
          <w:sz w:val="22"/>
        </w:rPr>
      </w:pPr>
    </w:p>
    <w:p>
      <w:pPr>
        <w:pStyle w:val="10"/>
        <w:spacing w:line="360" w:lineRule="auto"/>
        <w:ind w:firstLine="440"/>
        <w:rPr>
          <w:rFonts w:ascii="宋体" w:hAnsi="宋体" w:eastAsia="宋体" w:cs="宋体"/>
          <w:sz w:val="22"/>
        </w:rPr>
      </w:pPr>
      <w:r>
        <w:rPr>
          <w:rFonts w:hint="eastAsia" w:ascii="宋体" w:hAnsi="宋体" w:eastAsia="宋体" w:cs="宋体"/>
          <w:sz w:val="22"/>
        </w:rPr>
        <w:t>5、文体竞赛加分占本次成绩的4%（最多4分，可累加，相同比赛取最高奖项加分），具体如下：</w:t>
      </w:r>
    </w:p>
    <w:tbl>
      <w:tblPr>
        <w:tblStyle w:val="7"/>
        <w:tblW w:w="498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2"/>
        <w:gridCol w:w="2833"/>
        <w:gridCol w:w="2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333" w:type="pct"/>
            <w:gridSpan w:val="2"/>
          </w:tcPr>
          <w:p>
            <w:pPr>
              <w:pStyle w:val="11"/>
              <w:jc w:val="center"/>
              <w:rPr>
                <w:rFonts w:ascii="宋体" w:hAnsi="宋体" w:eastAsia="宋体" w:cs="宋体"/>
                <w:b/>
                <w:bCs/>
                <w:sz w:val="22"/>
                <w:szCs w:val="22"/>
              </w:rPr>
            </w:pPr>
            <w:r>
              <w:rPr>
                <w:rFonts w:hint="eastAsia" w:ascii="宋体" w:hAnsi="宋体" w:eastAsia="宋体" w:cs="宋体"/>
                <w:b/>
                <w:bCs/>
                <w:sz w:val="22"/>
                <w:szCs w:val="22"/>
              </w:rPr>
              <w:t>竞赛级别</w:t>
            </w:r>
          </w:p>
        </w:tc>
        <w:tc>
          <w:tcPr>
            <w:tcW w:w="1667" w:type="pct"/>
          </w:tcPr>
          <w:p>
            <w:pPr>
              <w:pStyle w:val="11"/>
              <w:jc w:val="center"/>
              <w:rPr>
                <w:rFonts w:ascii="宋体" w:hAnsi="宋体" w:eastAsia="宋体" w:cs="宋体"/>
                <w:b/>
                <w:bCs/>
                <w:sz w:val="22"/>
                <w:szCs w:val="22"/>
              </w:rPr>
            </w:pPr>
            <w:r>
              <w:rPr>
                <w:rFonts w:hint="eastAsia" w:ascii="宋体" w:hAnsi="宋体" w:eastAsia="宋体" w:cs="宋体"/>
                <w:b/>
                <w:bCs/>
                <w:sz w:val="22"/>
                <w:szCs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restart"/>
          </w:tcPr>
          <w:p>
            <w:pPr>
              <w:pStyle w:val="11"/>
              <w:spacing w:line="1200" w:lineRule="auto"/>
              <w:jc w:val="center"/>
              <w:rPr>
                <w:rFonts w:ascii="宋体" w:hAnsi="宋体" w:eastAsia="宋体" w:cs="宋体"/>
                <w:sz w:val="22"/>
                <w:szCs w:val="22"/>
              </w:rPr>
            </w:pPr>
            <w:r>
              <w:rPr>
                <w:rFonts w:hint="eastAsia" w:ascii="宋体" w:hAnsi="宋体" w:eastAsia="宋体" w:cs="宋体"/>
                <w:sz w:val="22"/>
                <w:szCs w:val="22"/>
              </w:rPr>
              <w:t>全国性竞赛</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一等奖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二等奖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666"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三等奖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restart"/>
          </w:tcPr>
          <w:p>
            <w:pPr>
              <w:pStyle w:val="11"/>
              <w:spacing w:line="1200" w:lineRule="auto"/>
              <w:jc w:val="center"/>
              <w:rPr>
                <w:rFonts w:ascii="宋体" w:hAnsi="宋体" w:eastAsia="宋体" w:cs="宋体"/>
                <w:sz w:val="22"/>
                <w:szCs w:val="22"/>
              </w:rPr>
            </w:pPr>
            <w:r>
              <w:rPr>
                <w:rFonts w:hint="eastAsia" w:ascii="宋体" w:hAnsi="宋体" w:eastAsia="宋体" w:cs="宋体"/>
                <w:sz w:val="22"/>
                <w:szCs w:val="22"/>
              </w:rPr>
              <w:t>省级、片区性竞赛</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一等奖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二等奖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666"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三等奖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restart"/>
          </w:tcPr>
          <w:p>
            <w:pPr>
              <w:pStyle w:val="11"/>
              <w:spacing w:line="1200" w:lineRule="auto"/>
              <w:jc w:val="center"/>
              <w:rPr>
                <w:rFonts w:ascii="宋体" w:hAnsi="宋体" w:eastAsia="宋体" w:cs="宋体"/>
                <w:sz w:val="22"/>
                <w:szCs w:val="22"/>
              </w:rPr>
            </w:pPr>
            <w:r>
              <w:rPr>
                <w:rFonts w:hint="eastAsia" w:ascii="宋体" w:hAnsi="宋体" w:eastAsia="宋体" w:cs="宋体"/>
                <w:sz w:val="22"/>
                <w:szCs w:val="22"/>
              </w:rPr>
              <w:t>校级竞赛</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一等奖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二等奖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666" w:type="pct"/>
            <w:vMerge w:val="continue"/>
          </w:tcPr>
          <w:p>
            <w:pPr>
              <w:spacing w:line="360" w:lineRule="auto"/>
              <w:jc w:val="center"/>
              <w:rPr>
                <w:rFonts w:ascii="宋体" w:hAnsi="宋体" w:eastAsia="宋体" w:cs="宋体"/>
                <w:color w:val="000000"/>
                <w:kern w:val="0"/>
                <w:sz w:val="22"/>
              </w:rPr>
            </w:pP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三等奖</w:t>
            </w:r>
          </w:p>
        </w:tc>
        <w:tc>
          <w:tcPr>
            <w:tcW w:w="1667"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0.5</w:t>
            </w:r>
          </w:p>
        </w:tc>
      </w:tr>
    </w:tbl>
    <w:p>
      <w:pPr>
        <w:spacing w:line="360" w:lineRule="auto"/>
        <w:ind w:firstLine="440" w:firstLineChars="200"/>
        <w:rPr>
          <w:rFonts w:ascii="宋体" w:hAnsi="宋体" w:eastAsia="宋体" w:cs="宋体"/>
          <w:sz w:val="22"/>
        </w:rPr>
      </w:pPr>
      <w:r>
        <w:rPr>
          <w:rFonts w:hint="eastAsia" w:ascii="宋体" w:hAnsi="宋体" w:eastAsia="宋体" w:cs="宋体"/>
          <w:sz w:val="22"/>
        </w:rPr>
        <w:t>一等奖包括第一、第二名；二等奖包括第三、四、五名；三等奖包括第六、七、八名。设有特等奖奖项的竞赛，特等奖均按一等奖进行加分，其他保持不变。参加团体竞赛获奖的同学，在相应加分标准基础上乘 0.5 的系数。</w:t>
      </w:r>
    </w:p>
    <w:p>
      <w:pPr>
        <w:pStyle w:val="10"/>
        <w:spacing w:line="360" w:lineRule="auto"/>
        <w:ind w:firstLine="440"/>
        <w:rPr>
          <w:rFonts w:ascii="宋体" w:hAnsi="宋体" w:eastAsia="宋体" w:cs="宋体"/>
          <w:sz w:val="22"/>
        </w:rPr>
      </w:pPr>
    </w:p>
    <w:p>
      <w:pPr>
        <w:pStyle w:val="10"/>
        <w:spacing w:line="360" w:lineRule="auto"/>
        <w:ind w:firstLine="440"/>
        <w:rPr>
          <w:rFonts w:ascii="宋体" w:hAnsi="宋体" w:eastAsia="宋体" w:cs="宋体"/>
          <w:sz w:val="22"/>
        </w:rPr>
      </w:pPr>
      <w:r>
        <w:rPr>
          <w:rFonts w:hint="eastAsia" w:ascii="宋体" w:hAnsi="宋体" w:eastAsia="宋体" w:cs="宋体"/>
          <w:sz w:val="22"/>
        </w:rPr>
        <w:t>6、学术成果占比5%（最多5分），具体如下：</w:t>
      </w:r>
    </w:p>
    <w:p>
      <w:pPr>
        <w:pStyle w:val="10"/>
        <w:spacing w:line="360" w:lineRule="auto"/>
        <w:ind w:left="105" w:firstLine="220" w:firstLineChars="100"/>
        <w:rPr>
          <w:rFonts w:ascii="宋体" w:hAnsi="宋体" w:eastAsia="宋体" w:cs="宋体"/>
          <w:sz w:val="22"/>
        </w:rPr>
      </w:pPr>
      <w:r>
        <w:rPr>
          <w:rFonts w:hint="eastAsia" w:ascii="宋体" w:hAnsi="宋体" w:eastAsia="宋体" w:cs="宋体"/>
          <w:sz w:val="22"/>
        </w:rPr>
        <w:t>（1）论文加分（在202</w:t>
      </w:r>
      <w:r>
        <w:rPr>
          <w:rFonts w:hint="eastAsia" w:ascii="宋体" w:hAnsi="宋体" w:eastAsia="宋体" w:cs="宋体"/>
          <w:sz w:val="22"/>
          <w:lang w:val="en-US" w:eastAsia="zh-CN"/>
        </w:rPr>
        <w:t>2</w:t>
      </w:r>
      <w:r>
        <w:rPr>
          <w:rFonts w:hint="eastAsia" w:ascii="宋体" w:hAnsi="宋体" w:eastAsia="宋体" w:cs="宋体"/>
          <w:sz w:val="22"/>
        </w:rPr>
        <w:t>年</w:t>
      </w:r>
      <w:r>
        <w:rPr>
          <w:rFonts w:hint="eastAsia" w:ascii="宋体" w:hAnsi="宋体" w:eastAsia="宋体" w:cs="宋体"/>
          <w:sz w:val="22"/>
          <w:lang w:val="en-US" w:eastAsia="zh-CN"/>
        </w:rPr>
        <w:t>4</w:t>
      </w:r>
      <w:bookmarkStart w:id="0" w:name="_GoBack"/>
      <w:bookmarkEnd w:id="0"/>
      <w:r>
        <w:rPr>
          <w:rFonts w:hint="eastAsia" w:ascii="宋体" w:hAnsi="宋体" w:eastAsia="宋体" w:cs="宋体"/>
          <w:sz w:val="22"/>
        </w:rPr>
        <w:t>月前发表的论文）</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5971"/>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pStyle w:val="10"/>
              <w:spacing w:line="360" w:lineRule="auto"/>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论文级别</w:t>
            </w:r>
          </w:p>
        </w:tc>
        <w:tc>
          <w:tcPr>
            <w:tcW w:w="3503" w:type="pct"/>
          </w:tcPr>
          <w:p>
            <w:pPr>
              <w:pStyle w:val="10"/>
              <w:spacing w:line="360" w:lineRule="auto"/>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注释</w:t>
            </w:r>
          </w:p>
        </w:tc>
        <w:tc>
          <w:tcPr>
            <w:tcW w:w="731" w:type="pct"/>
          </w:tcPr>
          <w:p>
            <w:pPr>
              <w:pStyle w:val="10"/>
              <w:spacing w:line="360" w:lineRule="auto"/>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加分分值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第一级</w:t>
            </w:r>
          </w:p>
        </w:tc>
        <w:tc>
          <w:tcPr>
            <w:tcW w:w="3503"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指在《SCIENCE》和《NATURE》两本期刊上发表的论文</w:t>
            </w:r>
          </w:p>
        </w:tc>
        <w:tc>
          <w:tcPr>
            <w:tcW w:w="731"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第二级</w:t>
            </w:r>
          </w:p>
        </w:tc>
        <w:tc>
          <w:tcPr>
            <w:tcW w:w="3503"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SCI刊物论文(自然科学类)；SSCI刊物(社会科学类)</w:t>
            </w:r>
          </w:p>
        </w:tc>
        <w:tc>
          <w:tcPr>
            <w:tcW w:w="731"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600" w:lineRule="auto"/>
              <w:jc w:val="center"/>
              <w:rPr>
                <w:rFonts w:ascii="宋体" w:hAnsi="宋体" w:eastAsia="宋体" w:cs="宋体"/>
                <w:color w:val="000000"/>
                <w:kern w:val="0"/>
                <w:sz w:val="22"/>
              </w:rPr>
            </w:pPr>
            <w:r>
              <w:rPr>
                <w:rFonts w:hint="eastAsia" w:ascii="宋体" w:hAnsi="宋体" w:eastAsia="宋体" w:cs="宋体"/>
                <w:color w:val="000000"/>
                <w:kern w:val="0"/>
                <w:sz w:val="22"/>
              </w:rPr>
              <w:t>第三级</w:t>
            </w:r>
          </w:p>
        </w:tc>
        <w:tc>
          <w:tcPr>
            <w:tcW w:w="3503"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指被国际通用的SCIE、EI、ISTP检索系统所收录的论文</w:t>
            </w:r>
          </w:p>
        </w:tc>
        <w:tc>
          <w:tcPr>
            <w:tcW w:w="731" w:type="pct"/>
          </w:tcPr>
          <w:p>
            <w:pPr>
              <w:pStyle w:val="10"/>
              <w:spacing w:line="60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第四级</w:t>
            </w:r>
          </w:p>
        </w:tc>
        <w:tc>
          <w:tcPr>
            <w:tcW w:w="3503"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核心刊物论文，一般指北大图书馆的《全国中文核心期刊要目总览》刊物上发表的论文</w:t>
            </w:r>
          </w:p>
        </w:tc>
        <w:tc>
          <w:tcPr>
            <w:tcW w:w="731"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第五级</w:t>
            </w:r>
          </w:p>
        </w:tc>
        <w:tc>
          <w:tcPr>
            <w:tcW w:w="3503" w:type="pct"/>
          </w:tcPr>
          <w:p>
            <w:pPr>
              <w:spacing w:line="360" w:lineRule="auto"/>
              <w:jc w:val="center"/>
              <w:rPr>
                <w:rFonts w:ascii="宋体" w:hAnsi="宋体" w:eastAsia="宋体" w:cs="宋体"/>
                <w:color w:val="000000"/>
                <w:kern w:val="0"/>
                <w:sz w:val="22"/>
              </w:rPr>
            </w:pPr>
            <w:r>
              <w:rPr>
                <w:rFonts w:hint="eastAsia" w:ascii="宋体" w:hAnsi="宋体" w:eastAsia="宋体" w:cs="宋体"/>
                <w:color w:val="000000"/>
                <w:kern w:val="0"/>
                <w:sz w:val="22"/>
              </w:rPr>
              <w:t>国家级普刊</w:t>
            </w:r>
          </w:p>
        </w:tc>
        <w:tc>
          <w:tcPr>
            <w:tcW w:w="731"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第六级</w:t>
            </w:r>
          </w:p>
        </w:tc>
        <w:tc>
          <w:tcPr>
            <w:tcW w:w="3503"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省级普刊</w:t>
            </w:r>
          </w:p>
        </w:tc>
        <w:tc>
          <w:tcPr>
            <w:tcW w:w="731" w:type="pct"/>
          </w:tcPr>
          <w:p>
            <w:pPr>
              <w:pStyle w:val="10"/>
              <w:spacing w:line="360" w:lineRule="auto"/>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3</w:t>
            </w:r>
          </w:p>
        </w:tc>
      </w:tr>
    </w:tbl>
    <w:p>
      <w:pPr>
        <w:spacing w:line="360" w:lineRule="auto"/>
        <w:rPr>
          <w:rFonts w:hint="eastAsia" w:ascii="宋体" w:hAnsi="宋体" w:eastAsia="宋体" w:cs="宋体"/>
          <w:sz w:val="22"/>
        </w:rPr>
      </w:pPr>
    </w:p>
    <w:p>
      <w:pPr>
        <w:pStyle w:val="10"/>
        <w:spacing w:line="360" w:lineRule="auto"/>
        <w:ind w:firstLine="440"/>
        <w:rPr>
          <w:rFonts w:ascii="宋体" w:hAnsi="宋体" w:eastAsia="宋体" w:cs="宋体"/>
          <w:sz w:val="22"/>
        </w:rPr>
      </w:pPr>
      <w:r>
        <w:rPr>
          <w:rFonts w:hint="eastAsia" w:ascii="宋体" w:hAnsi="宋体" w:eastAsia="宋体" w:cs="宋体"/>
          <w:sz w:val="22"/>
        </w:rPr>
        <w:t>（2）专利加分（在202</w:t>
      </w:r>
      <w:r>
        <w:rPr>
          <w:rFonts w:hint="eastAsia" w:ascii="宋体" w:hAnsi="宋体" w:eastAsia="宋体" w:cs="宋体"/>
          <w:sz w:val="22"/>
          <w:lang w:val="en-US" w:eastAsia="zh-CN"/>
        </w:rPr>
        <w:t>2</w:t>
      </w:r>
      <w:r>
        <w:rPr>
          <w:rFonts w:hint="eastAsia" w:ascii="宋体" w:hAnsi="宋体" w:eastAsia="宋体" w:cs="宋体"/>
          <w:sz w:val="22"/>
        </w:rPr>
        <w:t>年</w:t>
      </w:r>
      <w:r>
        <w:rPr>
          <w:rFonts w:hint="eastAsia" w:ascii="宋体" w:hAnsi="宋体" w:eastAsia="宋体" w:cs="宋体"/>
          <w:sz w:val="22"/>
          <w:lang w:val="en-US" w:eastAsia="zh-CN"/>
        </w:rPr>
        <w:t>4</w:t>
      </w:r>
      <w:r>
        <w:rPr>
          <w:rFonts w:hint="eastAsia" w:ascii="宋体" w:hAnsi="宋体" w:eastAsia="宋体" w:cs="宋体"/>
          <w:sz w:val="22"/>
        </w:rPr>
        <w:t>月前认证的专利）</w:t>
      </w:r>
    </w:p>
    <w:p>
      <w:pPr>
        <w:pStyle w:val="10"/>
        <w:spacing w:line="360" w:lineRule="auto"/>
        <w:ind w:firstLine="440"/>
        <w:rPr>
          <w:rFonts w:ascii="宋体" w:hAnsi="宋体" w:eastAsia="宋体" w:cs="宋体"/>
          <w:sz w:val="22"/>
        </w:rPr>
      </w:pPr>
      <w:r>
        <w:rPr>
          <w:rFonts w:hint="eastAsia" w:ascii="宋体" w:hAnsi="宋体" w:eastAsia="宋体" w:cs="宋体"/>
          <w:sz w:val="22"/>
        </w:rPr>
        <w:t>原则一项专利加3分，其中个人专利加分要求学生为第一发明人、西南交通大学为申请人，须出具国家知识产权局颁发的专利证书。</w:t>
      </w:r>
    </w:p>
    <w:p>
      <w:pPr>
        <w:pStyle w:val="10"/>
        <w:spacing w:line="360" w:lineRule="auto"/>
        <w:ind w:firstLine="440"/>
        <w:rPr>
          <w:rFonts w:ascii="宋体" w:hAnsi="宋体" w:eastAsia="宋体" w:cs="宋体"/>
          <w:sz w:val="22"/>
        </w:rPr>
      </w:pPr>
      <w:r>
        <w:rPr>
          <w:rFonts w:hint="eastAsia" w:ascii="宋体" w:hAnsi="宋体" w:eastAsia="宋体" w:cs="宋体"/>
          <w:sz w:val="22"/>
        </w:rPr>
        <w:t>（3）证书加分</w:t>
      </w:r>
    </w:p>
    <w:p>
      <w:pPr>
        <w:pStyle w:val="10"/>
        <w:spacing w:line="360" w:lineRule="auto"/>
        <w:ind w:firstLine="440"/>
        <w:rPr>
          <w:rFonts w:ascii="宋体" w:hAnsi="宋体" w:eastAsia="宋体" w:cs="宋体"/>
          <w:sz w:val="22"/>
        </w:rPr>
      </w:pPr>
      <w:r>
        <w:rPr>
          <w:rFonts w:hint="eastAsia" w:ascii="宋体" w:hAnsi="宋体" w:eastAsia="宋体" w:cs="宋体"/>
          <w:sz w:val="22"/>
        </w:rPr>
        <w:t>对于国家外语六级笔试成绩不低于510分的学生，给予 2 分加分；对于通过国家计算机二级的学生，给予 1 分加分；</w:t>
      </w:r>
    </w:p>
    <w:p>
      <w:pPr>
        <w:pStyle w:val="10"/>
        <w:spacing w:line="360" w:lineRule="auto"/>
        <w:ind w:firstLine="440"/>
        <w:rPr>
          <w:rFonts w:ascii="宋体" w:hAnsi="宋体" w:eastAsia="宋体" w:cs="宋体"/>
          <w:sz w:val="22"/>
        </w:rPr>
      </w:pPr>
      <w:r>
        <w:rPr>
          <w:rFonts w:hint="eastAsia" w:ascii="宋体" w:hAnsi="宋体" w:eastAsia="宋体" w:cs="宋体"/>
          <w:sz w:val="22"/>
        </w:rPr>
        <w:t>（4）科创项目加分</w:t>
      </w:r>
    </w:p>
    <w:p>
      <w:pPr>
        <w:pStyle w:val="10"/>
        <w:spacing w:line="360" w:lineRule="auto"/>
        <w:ind w:left="567" w:firstLine="0" w:firstLineChars="0"/>
        <w:rPr>
          <w:rFonts w:ascii="宋体" w:hAnsi="宋体" w:eastAsia="宋体" w:cs="宋体"/>
          <w:sz w:val="22"/>
        </w:rPr>
      </w:pPr>
      <w:r>
        <w:rPr>
          <w:rFonts w:hint="eastAsia" w:ascii="宋体" w:hAnsi="宋体" w:eastAsia="宋体" w:cs="宋体"/>
          <w:sz w:val="22"/>
        </w:rPr>
        <w:t>对于已经结题的科创项目（SRTP、SITP、SCTP等等），获得优秀结题，给予2分</w:t>
      </w:r>
    </w:p>
    <w:p>
      <w:pPr>
        <w:pStyle w:val="10"/>
        <w:spacing w:line="360" w:lineRule="auto"/>
        <w:ind w:firstLine="0" w:firstLineChars="0"/>
        <w:rPr>
          <w:rFonts w:ascii="宋体" w:hAnsi="宋体" w:eastAsia="宋体" w:cs="宋体"/>
          <w:sz w:val="22"/>
        </w:rPr>
      </w:pPr>
      <w:r>
        <w:rPr>
          <w:rFonts w:hint="eastAsia" w:ascii="宋体" w:hAnsi="宋体" w:eastAsia="宋体" w:cs="宋体"/>
          <w:sz w:val="22"/>
        </w:rPr>
        <w:t>加分，不同项目可以累加。</w:t>
      </w:r>
    </w:p>
    <w:p>
      <w:pPr>
        <w:pStyle w:val="10"/>
        <w:spacing w:line="360" w:lineRule="auto"/>
        <w:ind w:firstLine="0" w:firstLineChars="0"/>
        <w:rPr>
          <w:rFonts w:ascii="宋体" w:hAnsi="宋体" w:eastAsia="宋体" w:cs="宋体"/>
          <w:sz w:val="22"/>
        </w:rPr>
      </w:pPr>
    </w:p>
    <w:p>
      <w:pPr>
        <w:pStyle w:val="10"/>
        <w:spacing w:line="360" w:lineRule="auto"/>
        <w:ind w:firstLine="440"/>
        <w:rPr>
          <w:rFonts w:ascii="宋体" w:hAnsi="宋体" w:eastAsia="宋体" w:cs="宋体"/>
          <w:sz w:val="22"/>
        </w:rPr>
      </w:pPr>
      <w:r>
        <w:rPr>
          <w:rFonts w:hint="eastAsia" w:ascii="宋体" w:hAnsi="宋体" w:eastAsia="宋体" w:cs="宋体"/>
          <w:sz w:val="22"/>
        </w:rPr>
        <w:t>二、线下答辩得分占本次评选的55%</w:t>
      </w:r>
    </w:p>
    <w:p>
      <w:pPr>
        <w:pStyle w:val="10"/>
        <w:spacing w:line="360" w:lineRule="auto"/>
        <w:ind w:firstLine="440"/>
        <w:rPr>
          <w:rFonts w:ascii="宋体" w:hAnsi="宋体" w:eastAsia="宋体" w:cs="宋体"/>
          <w:sz w:val="22"/>
        </w:rPr>
      </w:pPr>
      <w:r>
        <w:rPr>
          <w:rFonts w:hint="eastAsia" w:ascii="宋体" w:hAnsi="宋体" w:eastAsia="宋体" w:cs="宋体"/>
          <w:sz w:val="22"/>
        </w:rPr>
        <w:t>线下答辩由各位评委老师和学生代表进行打分，老师打分占比35%，学生代表打分占比20%。</w:t>
      </w:r>
    </w:p>
    <w:p>
      <w:pPr>
        <w:pStyle w:val="10"/>
        <w:spacing w:line="360" w:lineRule="auto"/>
        <w:ind w:left="105" w:firstLine="0" w:firstLineChars="0"/>
        <w:rPr>
          <w:rFonts w:ascii="宋体" w:hAnsi="宋体" w:eastAsia="宋体" w:cs="宋体"/>
          <w:sz w:val="22"/>
        </w:rPr>
      </w:pPr>
    </w:p>
    <w:p>
      <w:pPr>
        <w:pStyle w:val="10"/>
        <w:numPr>
          <w:ilvl w:val="0"/>
          <w:numId w:val="2"/>
        </w:numPr>
        <w:spacing w:line="360" w:lineRule="auto"/>
        <w:ind w:firstLine="643"/>
        <w:jc w:val="center"/>
        <w:rPr>
          <w:rFonts w:ascii="黑体" w:hAnsi="黑体" w:eastAsia="黑体" w:cs="黑体"/>
          <w:b/>
          <w:bCs/>
          <w:sz w:val="32"/>
          <w:szCs w:val="36"/>
        </w:rPr>
      </w:pPr>
      <w:r>
        <w:rPr>
          <w:rFonts w:hint="eastAsia" w:ascii="黑体" w:hAnsi="黑体" w:eastAsia="黑体" w:cs="黑体"/>
          <w:b/>
          <w:bCs/>
          <w:sz w:val="32"/>
          <w:szCs w:val="36"/>
        </w:rPr>
        <w:t>附则</w:t>
      </w:r>
    </w:p>
    <w:p>
      <w:pPr>
        <w:pStyle w:val="10"/>
        <w:spacing w:line="360" w:lineRule="auto"/>
        <w:ind w:firstLine="0" w:firstLineChars="0"/>
        <w:rPr>
          <w:rFonts w:ascii="宋体" w:hAnsi="宋体" w:eastAsia="宋体" w:cs="宋体"/>
          <w:b/>
          <w:bCs/>
          <w:sz w:val="22"/>
        </w:rPr>
      </w:pPr>
      <w:r>
        <w:rPr>
          <w:rFonts w:hint="eastAsia" w:ascii="宋体" w:hAnsi="宋体" w:eastAsia="宋体" w:cs="宋体"/>
          <w:b/>
          <w:bCs/>
          <w:sz w:val="22"/>
        </w:rPr>
        <w:t>第七条</w:t>
      </w:r>
      <w:r>
        <w:rPr>
          <w:rFonts w:hint="eastAsia" w:ascii="宋体" w:hAnsi="宋体" w:eastAsia="宋体" w:cs="宋体"/>
          <w:sz w:val="22"/>
        </w:rPr>
        <w:t xml:space="preserve"> 符合条件的本科生可以向各自辅导员提交申请和相关材料，辅导员会对学生提交的材料进行初步筛查。</w:t>
      </w:r>
    </w:p>
    <w:p>
      <w:pPr>
        <w:pStyle w:val="10"/>
        <w:spacing w:line="360" w:lineRule="auto"/>
        <w:ind w:firstLine="0" w:firstLineChars="0"/>
        <w:rPr>
          <w:rFonts w:ascii="宋体" w:hAnsi="宋体" w:eastAsia="宋体" w:cs="宋体"/>
          <w:b/>
          <w:bCs/>
          <w:sz w:val="22"/>
        </w:rPr>
      </w:pPr>
      <w:r>
        <w:rPr>
          <w:rFonts w:hint="eastAsia" w:ascii="宋体" w:hAnsi="宋体" w:eastAsia="宋体" w:cs="宋体"/>
          <w:b/>
          <w:bCs/>
          <w:sz w:val="22"/>
        </w:rPr>
        <w:t xml:space="preserve">第八条 </w:t>
      </w:r>
      <w:r>
        <w:rPr>
          <w:rFonts w:hint="eastAsia" w:ascii="宋体" w:hAnsi="宋体" w:eastAsia="宋体" w:cs="宋体"/>
          <w:sz w:val="22"/>
        </w:rPr>
        <w:t>学院会成立评定工作小组，审核各位同学的加分和材料，确定成绩前15名左右的同学作为候选人。答辩后，将为成绩前10的候选人颁发土木工程学院“红土年度人物”荣誉证书和奖品，为其他的候选人颁发土木工程学院“红土年度人物”提名奖荣誉证书和奖品。</w:t>
      </w:r>
    </w:p>
    <w:p>
      <w:pPr>
        <w:pStyle w:val="10"/>
        <w:spacing w:line="360" w:lineRule="auto"/>
        <w:ind w:firstLine="0" w:firstLineChars="0"/>
        <w:rPr>
          <w:rFonts w:ascii="宋体" w:hAnsi="宋体" w:eastAsia="宋体" w:cs="宋体"/>
          <w:sz w:val="22"/>
        </w:rPr>
      </w:pPr>
      <w:r>
        <w:rPr>
          <w:rFonts w:hint="eastAsia" w:ascii="宋体" w:hAnsi="宋体" w:eastAsia="宋体" w:cs="宋体"/>
          <w:b/>
          <w:bCs/>
          <w:sz w:val="22"/>
        </w:rPr>
        <w:t>第九条</w:t>
      </w:r>
      <w:r>
        <w:rPr>
          <w:rFonts w:hint="eastAsia" w:ascii="宋体" w:hAnsi="宋体" w:eastAsia="宋体" w:cs="宋体"/>
          <w:sz w:val="22"/>
        </w:rPr>
        <w:t xml:space="preserve"> 评选过程中发现候选人中存在恶意拉票、提供虚假信息等违反公平竞争行为的，一律取消评选资格。</w:t>
      </w:r>
    </w:p>
    <w:p>
      <w:pPr>
        <w:pStyle w:val="10"/>
        <w:spacing w:line="360" w:lineRule="auto"/>
        <w:ind w:firstLine="0" w:firstLineChars="0"/>
        <w:rPr>
          <w:rFonts w:ascii="宋体" w:hAnsi="宋体" w:eastAsia="宋体" w:cs="宋体"/>
          <w:sz w:val="22"/>
        </w:rPr>
      </w:pPr>
    </w:p>
    <w:p>
      <w:pPr>
        <w:pStyle w:val="10"/>
        <w:spacing w:line="360" w:lineRule="auto"/>
        <w:ind w:firstLine="0" w:firstLineChars="0"/>
        <w:rPr>
          <w:rFonts w:ascii="宋体" w:hAnsi="宋体" w:eastAsia="宋体" w:cs="宋体"/>
          <w:b/>
          <w:bCs/>
          <w:sz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11F86"/>
    <w:multiLevelType w:val="singleLevel"/>
    <w:tmpl w:val="AC311F86"/>
    <w:lvl w:ilvl="0" w:tentative="0">
      <w:start w:val="4"/>
      <w:numFmt w:val="chineseCounting"/>
      <w:suff w:val="space"/>
      <w:lvlText w:val="第%1章"/>
      <w:lvlJc w:val="left"/>
      <w:rPr>
        <w:rFonts w:hint="eastAsia"/>
      </w:rPr>
    </w:lvl>
  </w:abstractNum>
  <w:abstractNum w:abstractNumId="1">
    <w:nsid w:val="5D3B7C2F"/>
    <w:multiLevelType w:val="multilevel"/>
    <w:tmpl w:val="5D3B7C2F"/>
    <w:lvl w:ilvl="0" w:tentative="0">
      <w:start w:val="1"/>
      <w:numFmt w:val="decimal"/>
      <w:lvlText w:val="（%1）"/>
      <w:lvlJc w:val="left"/>
      <w:pPr>
        <w:ind w:left="987" w:hanging="420"/>
      </w:pPr>
      <w:rPr>
        <w:rFonts w:hint="eastAsia"/>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5E5"/>
    <w:rsid w:val="00036969"/>
    <w:rsid w:val="00054BF8"/>
    <w:rsid w:val="000834C8"/>
    <w:rsid w:val="00104D92"/>
    <w:rsid w:val="001212CA"/>
    <w:rsid w:val="001D4028"/>
    <w:rsid w:val="00216153"/>
    <w:rsid w:val="002559B9"/>
    <w:rsid w:val="00287256"/>
    <w:rsid w:val="003F5F7B"/>
    <w:rsid w:val="00404073"/>
    <w:rsid w:val="004D7CBD"/>
    <w:rsid w:val="005023DF"/>
    <w:rsid w:val="00524CC7"/>
    <w:rsid w:val="005715D5"/>
    <w:rsid w:val="006547A2"/>
    <w:rsid w:val="0065730F"/>
    <w:rsid w:val="00673407"/>
    <w:rsid w:val="006A197C"/>
    <w:rsid w:val="006D2A08"/>
    <w:rsid w:val="006F2ADE"/>
    <w:rsid w:val="007A0C03"/>
    <w:rsid w:val="00826400"/>
    <w:rsid w:val="0086011D"/>
    <w:rsid w:val="00861662"/>
    <w:rsid w:val="008E5E27"/>
    <w:rsid w:val="008F48BB"/>
    <w:rsid w:val="00921CFB"/>
    <w:rsid w:val="0095677B"/>
    <w:rsid w:val="0098657A"/>
    <w:rsid w:val="009C24BA"/>
    <w:rsid w:val="00A755E5"/>
    <w:rsid w:val="00AB226E"/>
    <w:rsid w:val="00B30B69"/>
    <w:rsid w:val="00C00292"/>
    <w:rsid w:val="00C3787F"/>
    <w:rsid w:val="00C402B5"/>
    <w:rsid w:val="00C86DA6"/>
    <w:rsid w:val="00D340FE"/>
    <w:rsid w:val="00D5539F"/>
    <w:rsid w:val="00D74457"/>
    <w:rsid w:val="00DC7C71"/>
    <w:rsid w:val="00DE409B"/>
    <w:rsid w:val="00E60DDD"/>
    <w:rsid w:val="00ED45DA"/>
    <w:rsid w:val="00F0393D"/>
    <w:rsid w:val="00F23537"/>
    <w:rsid w:val="00FF7DA7"/>
    <w:rsid w:val="014D7C69"/>
    <w:rsid w:val="02423AF5"/>
    <w:rsid w:val="06881F84"/>
    <w:rsid w:val="09AE45AD"/>
    <w:rsid w:val="09C90F6A"/>
    <w:rsid w:val="0D6C42B9"/>
    <w:rsid w:val="0DBD3531"/>
    <w:rsid w:val="12174F96"/>
    <w:rsid w:val="123B005F"/>
    <w:rsid w:val="13E211B3"/>
    <w:rsid w:val="15FE7854"/>
    <w:rsid w:val="165A07EA"/>
    <w:rsid w:val="19FE131D"/>
    <w:rsid w:val="1A0C5786"/>
    <w:rsid w:val="1BB03856"/>
    <w:rsid w:val="1D711B94"/>
    <w:rsid w:val="1DC9786B"/>
    <w:rsid w:val="1FEF4326"/>
    <w:rsid w:val="22A62622"/>
    <w:rsid w:val="2D1B3FB2"/>
    <w:rsid w:val="2E6203C3"/>
    <w:rsid w:val="2F3F3A5B"/>
    <w:rsid w:val="2F6D5652"/>
    <w:rsid w:val="34A51446"/>
    <w:rsid w:val="365130AC"/>
    <w:rsid w:val="37AB2463"/>
    <w:rsid w:val="37FD44B3"/>
    <w:rsid w:val="3A7B13EF"/>
    <w:rsid w:val="3CBB014C"/>
    <w:rsid w:val="3D7A3F27"/>
    <w:rsid w:val="3F840EB4"/>
    <w:rsid w:val="41E62AE4"/>
    <w:rsid w:val="42AD0E34"/>
    <w:rsid w:val="43061FD7"/>
    <w:rsid w:val="45342345"/>
    <w:rsid w:val="4575086D"/>
    <w:rsid w:val="48032A1A"/>
    <w:rsid w:val="4B5164FF"/>
    <w:rsid w:val="4C803110"/>
    <w:rsid w:val="4FEC2889"/>
    <w:rsid w:val="514342B3"/>
    <w:rsid w:val="52425B5D"/>
    <w:rsid w:val="527B645B"/>
    <w:rsid w:val="545B7130"/>
    <w:rsid w:val="54A852B3"/>
    <w:rsid w:val="56B25C3B"/>
    <w:rsid w:val="571D54F5"/>
    <w:rsid w:val="573F552D"/>
    <w:rsid w:val="57781938"/>
    <w:rsid w:val="57AB4BCE"/>
    <w:rsid w:val="5924622B"/>
    <w:rsid w:val="5A052AC1"/>
    <w:rsid w:val="61DE766D"/>
    <w:rsid w:val="6315687D"/>
    <w:rsid w:val="63552FEC"/>
    <w:rsid w:val="66161C70"/>
    <w:rsid w:val="66446A6F"/>
    <w:rsid w:val="6A1C480D"/>
    <w:rsid w:val="6B9D630E"/>
    <w:rsid w:val="6DD2690E"/>
    <w:rsid w:val="6E672B94"/>
    <w:rsid w:val="6EDE0176"/>
    <w:rsid w:val="6FC2566C"/>
    <w:rsid w:val="726F79EF"/>
    <w:rsid w:val="72A91185"/>
    <w:rsid w:val="758E5EF4"/>
    <w:rsid w:val="761630AF"/>
    <w:rsid w:val="773343F2"/>
    <w:rsid w:val="775F7215"/>
    <w:rsid w:val="78F12228"/>
    <w:rsid w:val="795B4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14"/>
    <w:unhideWhenUsed/>
    <w:qFormat/>
    <w:uiPriority w:val="99"/>
    <w:pPr>
      <w:tabs>
        <w:tab w:val="center" w:pos="4153"/>
        <w:tab w:val="right" w:pos="8306"/>
      </w:tabs>
      <w:snapToGrid w:val="0"/>
      <w:jc w:val="left"/>
    </w:pPr>
    <w:rPr>
      <w:sz w:val="18"/>
      <w:szCs w:val="18"/>
    </w:rPr>
  </w:style>
  <w:style w:type="paragraph" w:styleId="3">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12"/>
    <w:qFormat/>
    <w:uiPriority w:val="11"/>
    <w:pPr>
      <w:spacing w:before="240" w:after="60" w:line="312" w:lineRule="auto"/>
      <w:jc w:val="center"/>
      <w:outlineLvl w:val="1"/>
    </w:pPr>
    <w:rPr>
      <w:b/>
      <w:bCs/>
      <w:kern w:val="28"/>
      <w:sz w:val="32"/>
      <w:szCs w:val="32"/>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paragraph" w:styleId="10">
    <w:name w:val="List Paragraph"/>
    <w:basedOn w:val="1"/>
    <w:qFormat/>
    <w:uiPriority w:val="34"/>
    <w:pPr>
      <w:ind w:firstLine="420" w:firstLineChars="200"/>
    </w:pPr>
  </w:style>
  <w:style w:type="paragraph" w:customStyle="1" w:styleId="11">
    <w:name w:val="Default"/>
    <w:qFormat/>
    <w:uiPriority w:val="0"/>
    <w:pPr>
      <w:widowControl w:val="0"/>
      <w:autoSpaceDE w:val="0"/>
      <w:autoSpaceDN w:val="0"/>
      <w:adjustRightInd w:val="0"/>
    </w:pPr>
    <w:rPr>
      <w:rFonts w:ascii="仿宋" w:eastAsia="仿宋" w:cs="仿宋" w:hAnsiTheme="minorHAnsi"/>
      <w:color w:val="000000"/>
      <w:sz w:val="24"/>
      <w:szCs w:val="24"/>
      <w:lang w:val="en-US" w:eastAsia="zh-CN" w:bidi="ar-SA"/>
    </w:rPr>
  </w:style>
  <w:style w:type="character" w:customStyle="1" w:styleId="12">
    <w:name w:val="副标题 字符"/>
    <w:basedOn w:val="8"/>
    <w:link w:val="4"/>
    <w:qFormat/>
    <w:uiPriority w:val="11"/>
    <w:rPr>
      <w:b/>
      <w:bCs/>
      <w:kern w:val="28"/>
      <w:sz w:val="32"/>
      <w:szCs w:val="32"/>
    </w:rPr>
  </w:style>
  <w:style w:type="character" w:customStyle="1" w:styleId="13">
    <w:name w:val="页眉 字符"/>
    <w:basedOn w:val="8"/>
    <w:link w:val="3"/>
    <w:qFormat/>
    <w:uiPriority w:val="99"/>
    <w:rPr>
      <w:sz w:val="18"/>
      <w:szCs w:val="18"/>
    </w:rPr>
  </w:style>
  <w:style w:type="character" w:customStyle="1" w:styleId="14">
    <w:name w:val="页脚 字符"/>
    <w:basedOn w:val="8"/>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7E013E-86F6-4DAB-917E-CCB9F62FB55F}">
  <ds:schemaRefs/>
</ds:datastoreItem>
</file>

<file path=docProps/app.xml><?xml version="1.0" encoding="utf-8"?>
<Properties xmlns="http://schemas.openxmlformats.org/officeDocument/2006/extended-properties" xmlns:vt="http://schemas.openxmlformats.org/officeDocument/2006/docPropsVTypes">
  <Template>Normal</Template>
  <Pages>7</Pages>
  <Words>3158</Words>
  <Characters>3247</Characters>
  <Lines>25</Lines>
  <Paragraphs>7</Paragraphs>
  <TotalTime>25</TotalTime>
  <ScaleCrop>false</ScaleCrop>
  <LinksUpToDate>false</LinksUpToDate>
  <CharactersWithSpaces>3272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2021-03-23T14:37:00Z</dcterms:created>
  <dc:creator>Tsang Marzi</dc:creator>
  <cp:lastModifiedBy>我自己的小迷弟</cp:lastModifiedBy>
  <dcterms:modified xsi:type="dcterms:W3CDTF">2022-04-02T07:53:26Z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WinEqns">
    <vt:bool>true</vt:bool>
  </property>
  <property fmtid="{D5CDD505-2E9C-101B-9397-08002B2CF9AE}" pid="3" name="KSOProductBuildVer">
    <vt:lpwstr>2052-11.1.0.11365</vt:lpwstr>
  </property>
  <property fmtid="{D5CDD505-2E9C-101B-9397-08002B2CF9AE}" pid="4" name="ICV">
    <vt:lpwstr>97CE44D124234E4B91E0B4932BF3833E</vt:lpwstr>
  </property>
</Properties>
</file>